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C778E" w14:textId="6A5CA792" w:rsidR="00311050" w:rsidRPr="00311050" w:rsidRDefault="00311050">
      <w:pPr>
        <w:rPr>
          <w:rFonts w:ascii="Calibri" w:hAnsi="Calibri" w:cs="Calibri"/>
          <w:b/>
          <w:bCs/>
          <w:sz w:val="52"/>
          <w:szCs w:val="52"/>
        </w:rPr>
      </w:pPr>
      <w:r w:rsidRPr="00311050">
        <w:rPr>
          <w:rFonts w:ascii="Calibri" w:hAnsi="Calibri" w:cs="Calibri"/>
          <w:b/>
          <w:bCs/>
          <w:sz w:val="52"/>
          <w:szCs w:val="52"/>
        </w:rPr>
        <w:t>INSIGHTS ON THE MARKETS</w:t>
      </w:r>
    </w:p>
    <w:p w14:paraId="24E1D2D7" w14:textId="77777777" w:rsidR="00311050" w:rsidRDefault="00311050">
      <w:pPr>
        <w:rPr>
          <w:rFonts w:cs="Courier New"/>
          <w:b/>
          <w:bCs/>
        </w:rPr>
      </w:pPr>
    </w:p>
    <w:p w14:paraId="3E33576E" w14:textId="300E3678" w:rsidR="007A0502" w:rsidRPr="00311050" w:rsidRDefault="00213BEB">
      <w:pPr>
        <w:rPr>
          <w:rFonts w:ascii="Calibri" w:hAnsi="Calibri" w:cs="Calibri"/>
          <w:b/>
          <w:bCs/>
          <w:sz w:val="72"/>
          <w:szCs w:val="72"/>
        </w:rPr>
      </w:pPr>
      <w:r w:rsidRPr="00311050">
        <w:rPr>
          <w:rFonts w:ascii="Calibri" w:hAnsi="Calibri" w:cs="Calibri"/>
          <w:b/>
          <w:bCs/>
          <w:sz w:val="72"/>
          <w:szCs w:val="72"/>
        </w:rPr>
        <w:t>Thirty Years of Excellence</w:t>
      </w:r>
    </w:p>
    <w:p w14:paraId="029C62D0" w14:textId="1F82C316" w:rsidR="001D614D" w:rsidRPr="00311050" w:rsidRDefault="00213BEB">
      <w:pPr>
        <w:rPr>
          <w:rFonts w:ascii="Calibri" w:hAnsi="Calibri" w:cs="Calibri"/>
          <w:i/>
          <w:iCs/>
          <w:color w:val="EE0000"/>
          <w:sz w:val="32"/>
          <w:szCs w:val="32"/>
        </w:rPr>
      </w:pPr>
      <w:r w:rsidRPr="00311050">
        <w:rPr>
          <w:rFonts w:ascii="Calibri" w:hAnsi="Calibri" w:cs="Calibri"/>
          <w:i/>
          <w:iCs/>
          <w:color w:val="EE0000"/>
          <w:sz w:val="32"/>
          <w:szCs w:val="32"/>
        </w:rPr>
        <w:t xml:space="preserve">Why the </w:t>
      </w:r>
      <w:r w:rsidR="001B44B8">
        <w:rPr>
          <w:rFonts w:ascii="Calibri" w:hAnsi="Calibri" w:cs="Calibri"/>
          <w:i/>
          <w:iCs/>
          <w:color w:val="EE0000"/>
          <w:sz w:val="32"/>
          <w:szCs w:val="32"/>
        </w:rPr>
        <w:t>Random Walk</w:t>
      </w:r>
      <w:r w:rsidRPr="00311050">
        <w:rPr>
          <w:rFonts w:ascii="Calibri" w:hAnsi="Calibri" w:cs="Calibri"/>
          <w:i/>
          <w:iCs/>
          <w:color w:val="EE0000"/>
          <w:sz w:val="32"/>
          <w:szCs w:val="32"/>
        </w:rPr>
        <w:t xml:space="preserve"> Hypothesis Doesn’t Always Hold</w:t>
      </w:r>
    </w:p>
    <w:p w14:paraId="2E90C708" w14:textId="77777777" w:rsidR="00232B86" w:rsidRDefault="00311050">
      <w:pPr>
        <w:rPr>
          <w:rFonts w:ascii="Calibri" w:hAnsi="Calibri" w:cs="Calibri"/>
          <w:sz w:val="28"/>
          <w:szCs w:val="28"/>
        </w:rPr>
      </w:pPr>
      <w:r w:rsidRPr="00311050">
        <w:rPr>
          <w:rFonts w:ascii="Calibri" w:hAnsi="Calibri" w:cs="Calibri"/>
          <w:sz w:val="28"/>
          <w:szCs w:val="28"/>
        </w:rPr>
        <w:t>April 2026</w:t>
      </w:r>
    </w:p>
    <w:p w14:paraId="7339C38A" w14:textId="6AEA0362" w:rsidR="00311050" w:rsidRPr="00232B86" w:rsidRDefault="00232B86">
      <w:pPr>
        <w:rPr>
          <w:rFonts w:ascii="Calibri" w:hAnsi="Calibri" w:cs="Calibri"/>
          <w:sz w:val="28"/>
          <w:szCs w:val="28"/>
        </w:rPr>
      </w:pPr>
      <w:r>
        <w:rPr>
          <w:rFonts w:cs="Courier New"/>
          <w:noProof/>
        </w:rPr>
        <w:drawing>
          <wp:anchor distT="0" distB="0" distL="114300" distR="114300" simplePos="0" relativeHeight="251658240" behindDoc="1" locked="0" layoutInCell="1" allowOverlap="1" wp14:anchorId="633219BF" wp14:editId="1789AD39">
            <wp:simplePos x="0" y="0"/>
            <wp:positionH relativeFrom="page">
              <wp:align>right</wp:align>
            </wp:positionH>
            <wp:positionV relativeFrom="paragraph">
              <wp:posOffset>316865</wp:posOffset>
            </wp:positionV>
            <wp:extent cx="7763510" cy="1803400"/>
            <wp:effectExtent l="0" t="0" r="8890" b="6350"/>
            <wp:wrapTight wrapText="bothSides">
              <wp:wrapPolygon edited="0">
                <wp:start x="0" y="0"/>
                <wp:lineTo x="0" y="21448"/>
                <wp:lineTo x="21572" y="21448"/>
                <wp:lineTo x="21572" y="0"/>
                <wp:lineTo x="0" y="0"/>
              </wp:wrapPolygon>
            </wp:wrapTight>
            <wp:docPr id="1860231983" name="Picture 4" descr="Close up photo of colorful grap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31983" name="Picture 1860231983" descr="Close up photo of colorful graph data"/>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3510" cy="1803400"/>
                    </a:xfrm>
                    <a:prstGeom prst="rect">
                      <a:avLst/>
                    </a:prstGeom>
                  </pic:spPr>
                </pic:pic>
              </a:graphicData>
            </a:graphic>
            <wp14:sizeRelH relativeFrom="margin">
              <wp14:pctWidth>0</wp14:pctWidth>
            </wp14:sizeRelH>
          </wp:anchor>
        </w:drawing>
      </w:r>
    </w:p>
    <w:p w14:paraId="387242DA" w14:textId="77777777" w:rsidR="00232B86" w:rsidRDefault="00232B86">
      <w:pPr>
        <w:rPr>
          <w:rFonts w:cs="Courier New"/>
        </w:rPr>
      </w:pPr>
    </w:p>
    <w:p w14:paraId="6FBDA8B7" w14:textId="0ED568E0" w:rsidR="003401B6" w:rsidRPr="00EB1C02" w:rsidRDefault="001D614D">
      <w:pPr>
        <w:rPr>
          <w:rFonts w:cs="Courier New"/>
        </w:rPr>
      </w:pPr>
      <w:r w:rsidRPr="00161F3A">
        <w:rPr>
          <w:rFonts w:cs="Courier New"/>
          <w:b/>
          <w:bCs/>
        </w:rPr>
        <w:t>Absolutism is rarely a good approach</w:t>
      </w:r>
      <w:r w:rsidRPr="00EB1C02">
        <w:rPr>
          <w:rFonts w:cs="Courier New"/>
        </w:rPr>
        <w:t xml:space="preserve"> to anything. Burton Malkiel, </w:t>
      </w:r>
      <w:r w:rsidR="007F01B8" w:rsidRPr="00EB1C02">
        <w:rPr>
          <w:rFonts w:cs="Courier New"/>
        </w:rPr>
        <w:t>author of the</w:t>
      </w:r>
      <w:r w:rsidRPr="00EB1C02">
        <w:rPr>
          <w:rFonts w:cs="Courier New"/>
        </w:rPr>
        <w:t xml:space="preserve"> bestseller </w:t>
      </w:r>
      <w:r w:rsidRPr="00EB1C02">
        <w:rPr>
          <w:rFonts w:cs="Courier New"/>
          <w:i/>
          <w:iCs/>
        </w:rPr>
        <w:t>A Random Walk Down Wall Street</w:t>
      </w:r>
      <w:r w:rsidRPr="00EB1C02">
        <w:rPr>
          <w:rFonts w:cs="Courier New"/>
        </w:rPr>
        <w:t xml:space="preserve">, has </w:t>
      </w:r>
      <w:r w:rsidR="005008D2" w:rsidRPr="00EB1C02">
        <w:rPr>
          <w:rFonts w:cs="Courier New"/>
        </w:rPr>
        <w:t xml:space="preserve">argued for </w:t>
      </w:r>
      <w:r w:rsidRPr="00EB1C02">
        <w:rPr>
          <w:rFonts w:cs="Courier New"/>
        </w:rPr>
        <w:t xml:space="preserve">decades that active portfolio management is a losing </w:t>
      </w:r>
      <w:r w:rsidR="00BE1E11" w:rsidRPr="00EB1C02">
        <w:rPr>
          <w:rFonts w:cs="Courier New"/>
        </w:rPr>
        <w:t>strategy</w:t>
      </w:r>
      <w:r w:rsidR="007F01B8" w:rsidRPr="00EB1C02">
        <w:rPr>
          <w:rFonts w:cs="Courier New"/>
        </w:rPr>
        <w:t xml:space="preserve">. </w:t>
      </w:r>
      <w:r w:rsidR="00927517">
        <w:rPr>
          <w:rFonts w:cs="Courier New"/>
        </w:rPr>
        <w:t>Both individual stocks and the stock</w:t>
      </w:r>
      <w:r w:rsidRPr="00EB1C02">
        <w:rPr>
          <w:rFonts w:cs="Courier New"/>
        </w:rPr>
        <w:t xml:space="preserve"> market</w:t>
      </w:r>
      <w:r w:rsidR="00927517">
        <w:rPr>
          <w:rFonts w:cs="Courier New"/>
        </w:rPr>
        <w:t xml:space="preserve"> overall</w:t>
      </w:r>
      <w:r w:rsidRPr="00EB1C02">
        <w:rPr>
          <w:rFonts w:cs="Courier New"/>
        </w:rPr>
        <w:t xml:space="preserve"> move </w:t>
      </w:r>
      <w:r w:rsidR="003401B6" w:rsidRPr="00EB1C02">
        <w:rPr>
          <w:rFonts w:cs="Courier New"/>
        </w:rPr>
        <w:t xml:space="preserve">as unpredictably as </w:t>
      </w:r>
      <w:r w:rsidRPr="00EB1C02">
        <w:rPr>
          <w:rFonts w:cs="Courier New"/>
        </w:rPr>
        <w:t xml:space="preserve">drunks </w:t>
      </w:r>
      <w:r w:rsidR="00BE1E11" w:rsidRPr="00EB1C02">
        <w:rPr>
          <w:rFonts w:cs="Courier New"/>
        </w:rPr>
        <w:t>down</w:t>
      </w:r>
      <w:r w:rsidRPr="00EB1C02">
        <w:rPr>
          <w:rFonts w:cs="Courier New"/>
        </w:rPr>
        <w:t xml:space="preserve"> a sidewalk, </w:t>
      </w:r>
      <w:r w:rsidR="003401B6" w:rsidRPr="00EB1C02">
        <w:rPr>
          <w:rFonts w:cs="Courier New"/>
        </w:rPr>
        <w:t xml:space="preserve">according to </w:t>
      </w:r>
      <w:r w:rsidR="00BE1E11" w:rsidRPr="00EB1C02">
        <w:rPr>
          <w:rFonts w:cs="Courier New"/>
        </w:rPr>
        <w:t>his</w:t>
      </w:r>
      <w:r w:rsidR="003401B6" w:rsidRPr="00EB1C02">
        <w:rPr>
          <w:rFonts w:cs="Courier New"/>
        </w:rPr>
        <w:t xml:space="preserve"> </w:t>
      </w:r>
      <w:r w:rsidR="00BE1E11" w:rsidRPr="00EB1C02">
        <w:rPr>
          <w:rFonts w:cs="Courier New"/>
        </w:rPr>
        <w:t>“</w:t>
      </w:r>
      <w:r w:rsidR="003401B6" w:rsidRPr="00EB1C02">
        <w:rPr>
          <w:rFonts w:cs="Courier New"/>
        </w:rPr>
        <w:t>random walk</w:t>
      </w:r>
      <w:r w:rsidR="00BE1E11" w:rsidRPr="00EB1C02">
        <w:rPr>
          <w:rFonts w:cs="Courier New"/>
        </w:rPr>
        <w:t>”</w:t>
      </w:r>
      <w:r w:rsidR="003401B6" w:rsidRPr="00EB1C02">
        <w:rPr>
          <w:rFonts w:cs="Courier New"/>
        </w:rPr>
        <w:t xml:space="preserve"> hypothesis</w:t>
      </w:r>
      <w:r w:rsidRPr="00EB1C02">
        <w:rPr>
          <w:rFonts w:cs="Courier New"/>
        </w:rPr>
        <w:t xml:space="preserve">. </w:t>
      </w:r>
      <w:r w:rsidR="003401B6" w:rsidRPr="00EB1C02">
        <w:rPr>
          <w:rFonts w:cs="Courier New"/>
        </w:rPr>
        <w:t xml:space="preserve">If this is true, </w:t>
      </w:r>
      <w:r w:rsidR="005008D2" w:rsidRPr="00EB1C02">
        <w:rPr>
          <w:rFonts w:cs="Courier New"/>
        </w:rPr>
        <w:t xml:space="preserve">then </w:t>
      </w:r>
      <w:r w:rsidR="003401B6" w:rsidRPr="00EB1C02">
        <w:rPr>
          <w:rFonts w:cs="Courier New"/>
        </w:rPr>
        <w:t>soothsay</w:t>
      </w:r>
      <w:r w:rsidR="005008D2" w:rsidRPr="00EB1C02">
        <w:rPr>
          <w:rFonts w:cs="Courier New"/>
        </w:rPr>
        <w:t>ing</w:t>
      </w:r>
      <w:r w:rsidR="003401B6" w:rsidRPr="00EB1C02">
        <w:rPr>
          <w:rFonts w:cs="Courier New"/>
        </w:rPr>
        <w:t xml:space="preserve"> </w:t>
      </w:r>
      <w:r w:rsidR="00D828FB" w:rsidRPr="00EB1C02">
        <w:rPr>
          <w:rFonts w:cs="Courier New"/>
        </w:rPr>
        <w:t>stands</w:t>
      </w:r>
      <w:r w:rsidR="003401B6" w:rsidRPr="00EB1C02">
        <w:rPr>
          <w:rFonts w:cs="Courier New"/>
        </w:rPr>
        <w:t xml:space="preserve"> as good a chance </w:t>
      </w:r>
      <w:r w:rsidR="00D828FB" w:rsidRPr="00EB1C02">
        <w:rPr>
          <w:rFonts w:cs="Courier New"/>
        </w:rPr>
        <w:t>of</w:t>
      </w:r>
      <w:r w:rsidR="003401B6" w:rsidRPr="00EB1C02">
        <w:rPr>
          <w:rFonts w:cs="Courier New"/>
        </w:rPr>
        <w:t xml:space="preserve"> add</w:t>
      </w:r>
      <w:r w:rsidR="00D828FB" w:rsidRPr="00EB1C02">
        <w:rPr>
          <w:rFonts w:cs="Courier New"/>
        </w:rPr>
        <w:t>ing</w:t>
      </w:r>
      <w:r w:rsidR="003401B6" w:rsidRPr="00EB1C02">
        <w:rPr>
          <w:rFonts w:cs="Courier New"/>
        </w:rPr>
        <w:t xml:space="preserve"> value to a stock portfolio as </w:t>
      </w:r>
      <w:r w:rsidR="00D10733" w:rsidRPr="00EB1C02">
        <w:rPr>
          <w:rFonts w:cs="Courier New"/>
        </w:rPr>
        <w:t xml:space="preserve">in-depth </w:t>
      </w:r>
      <w:r w:rsidR="005008D2" w:rsidRPr="00EB1C02">
        <w:rPr>
          <w:rFonts w:cs="Courier New"/>
        </w:rPr>
        <w:t>analysis</w:t>
      </w:r>
      <w:r w:rsidR="003401B6" w:rsidRPr="00EB1C02">
        <w:rPr>
          <w:rFonts w:cs="Courier New"/>
        </w:rPr>
        <w:t xml:space="preserve">. </w:t>
      </w:r>
    </w:p>
    <w:p w14:paraId="445754C1" w14:textId="626BC1DC" w:rsidR="0075081A" w:rsidRPr="00EB1C02" w:rsidRDefault="00E95D51" w:rsidP="00BE1E11">
      <w:pPr>
        <w:rPr>
          <w:rFonts w:cs="Courier New"/>
        </w:rPr>
      </w:pPr>
      <w:r>
        <w:rPr>
          <w:rFonts w:cs="Courier New"/>
        </w:rPr>
        <w:t xml:space="preserve">While </w:t>
      </w:r>
      <w:r w:rsidR="00BE1E11" w:rsidRPr="00EB1C02">
        <w:rPr>
          <w:rFonts w:cs="Courier New"/>
        </w:rPr>
        <w:t>actively promot</w:t>
      </w:r>
      <w:r>
        <w:rPr>
          <w:rFonts w:cs="Courier New"/>
        </w:rPr>
        <w:t>ing</w:t>
      </w:r>
      <w:r w:rsidR="005008D2" w:rsidRPr="00EB1C02">
        <w:rPr>
          <w:rFonts w:cs="Courier New"/>
        </w:rPr>
        <w:t xml:space="preserve"> this idea,</w:t>
      </w:r>
      <w:r w:rsidR="00BE1E11" w:rsidRPr="00EB1C02">
        <w:rPr>
          <w:rFonts w:cs="Courier New"/>
        </w:rPr>
        <w:t xml:space="preserve"> </w:t>
      </w:r>
      <w:r>
        <w:rPr>
          <w:rFonts w:cs="Courier New"/>
        </w:rPr>
        <w:t>Malkiel</w:t>
      </w:r>
      <w:r w:rsidR="00441280" w:rsidRPr="00EB1C02">
        <w:rPr>
          <w:rFonts w:cs="Courier New"/>
        </w:rPr>
        <w:t xml:space="preserve"> </w:t>
      </w:r>
      <w:r w:rsidR="00BE1E11" w:rsidRPr="00EB1C02">
        <w:rPr>
          <w:rFonts w:cs="Courier New"/>
        </w:rPr>
        <w:t xml:space="preserve">sometimes </w:t>
      </w:r>
      <w:r w:rsidR="001D1A01">
        <w:rPr>
          <w:rFonts w:cs="Courier New"/>
        </w:rPr>
        <w:t xml:space="preserve">also </w:t>
      </w:r>
      <w:r w:rsidR="00A30DCC" w:rsidRPr="00EB1C02">
        <w:rPr>
          <w:rFonts w:cs="Courier New"/>
        </w:rPr>
        <w:t>offer</w:t>
      </w:r>
      <w:r>
        <w:rPr>
          <w:rFonts w:cs="Courier New"/>
        </w:rPr>
        <w:t>s</w:t>
      </w:r>
      <w:r w:rsidR="005008D2" w:rsidRPr="00EB1C02">
        <w:rPr>
          <w:rFonts w:cs="Courier New"/>
        </w:rPr>
        <w:t xml:space="preserve"> </w:t>
      </w:r>
      <w:r>
        <w:rPr>
          <w:rFonts w:cs="Courier New"/>
        </w:rPr>
        <w:t>his views</w:t>
      </w:r>
      <w:r w:rsidR="001D614D" w:rsidRPr="00EB1C02">
        <w:rPr>
          <w:rFonts w:cs="Courier New"/>
        </w:rPr>
        <w:t xml:space="preserve"> on </w:t>
      </w:r>
      <w:r w:rsidR="003401B6" w:rsidRPr="00EB1C02">
        <w:rPr>
          <w:rFonts w:cs="Courier New"/>
        </w:rPr>
        <w:t xml:space="preserve">market </w:t>
      </w:r>
      <w:r w:rsidR="001D614D" w:rsidRPr="00EB1C02">
        <w:rPr>
          <w:rFonts w:cs="Courier New"/>
        </w:rPr>
        <w:t>valuations</w:t>
      </w:r>
      <w:r w:rsidR="00BE1E11" w:rsidRPr="00EB1C02">
        <w:rPr>
          <w:rFonts w:cs="Courier New"/>
        </w:rPr>
        <w:t>.</w:t>
      </w:r>
      <w:r w:rsidR="001D614D" w:rsidRPr="00EB1C02">
        <w:rPr>
          <w:rFonts w:cs="Courier New"/>
        </w:rPr>
        <w:t xml:space="preserve"> </w:t>
      </w:r>
      <w:r w:rsidR="00BE1E11" w:rsidRPr="00EB1C02">
        <w:rPr>
          <w:rFonts w:cs="Courier New"/>
        </w:rPr>
        <w:t xml:space="preserve">In </w:t>
      </w:r>
      <w:r w:rsidR="00213BEB">
        <w:rPr>
          <w:rFonts w:cs="Courier New"/>
        </w:rPr>
        <w:t>a</w:t>
      </w:r>
      <w:r w:rsidR="001D614D" w:rsidRPr="00EB1C02">
        <w:rPr>
          <w:rFonts w:cs="Courier New"/>
        </w:rPr>
        <w:t xml:space="preserve"> recent </w:t>
      </w:r>
      <w:r w:rsidR="007F01B8" w:rsidRPr="00EB1C02">
        <w:rPr>
          <w:rFonts w:cs="Courier New"/>
        </w:rPr>
        <w:t>a</w:t>
      </w:r>
      <w:r w:rsidR="00441280" w:rsidRPr="00EB1C02">
        <w:rPr>
          <w:rFonts w:cs="Courier New"/>
        </w:rPr>
        <w:t xml:space="preserve"> Wall Street Journal</w:t>
      </w:r>
      <w:r w:rsidR="007F01B8" w:rsidRPr="00EB1C02">
        <w:rPr>
          <w:rFonts w:cs="Courier New"/>
        </w:rPr>
        <w:t xml:space="preserve"> </w:t>
      </w:r>
      <w:hyperlink r:id="rId8" w:history="1">
        <w:r w:rsidR="007F01B8" w:rsidRPr="00EB1C02">
          <w:rPr>
            <w:rStyle w:val="Hyperlink"/>
            <w:rFonts w:cs="Courier New"/>
          </w:rPr>
          <w:t>opinio</w:t>
        </w:r>
        <w:r w:rsidR="007F01B8" w:rsidRPr="00EB1C02">
          <w:rPr>
            <w:rStyle w:val="Hyperlink"/>
            <w:rFonts w:cs="Courier New"/>
          </w:rPr>
          <w:t>n</w:t>
        </w:r>
        <w:r w:rsidR="007F01B8" w:rsidRPr="00EB1C02">
          <w:rPr>
            <w:rStyle w:val="Hyperlink"/>
            <w:rFonts w:cs="Courier New"/>
          </w:rPr>
          <w:t xml:space="preserve"> piece</w:t>
        </w:r>
      </w:hyperlink>
      <w:r w:rsidR="00BE1E11" w:rsidRPr="00EB1C02">
        <w:rPr>
          <w:rFonts w:cs="Courier New"/>
        </w:rPr>
        <w:t xml:space="preserve">, </w:t>
      </w:r>
      <w:r w:rsidR="00BB3799" w:rsidRPr="00EB1C02">
        <w:rPr>
          <w:rFonts w:cs="Courier New"/>
        </w:rPr>
        <w:t xml:space="preserve">for instance, </w:t>
      </w:r>
      <w:r w:rsidR="00BE1E11" w:rsidRPr="00EB1C02">
        <w:rPr>
          <w:rFonts w:cs="Courier New"/>
        </w:rPr>
        <w:t>he advocates</w:t>
      </w:r>
      <w:r w:rsidR="005008D2" w:rsidRPr="00EB1C02">
        <w:rPr>
          <w:rFonts w:cs="Courier New"/>
        </w:rPr>
        <w:t xml:space="preserve"> for </w:t>
      </w:r>
      <w:r w:rsidR="00BE1E11" w:rsidRPr="00EB1C02">
        <w:rPr>
          <w:rFonts w:cs="Courier New"/>
        </w:rPr>
        <w:t xml:space="preserve">the superiority of </w:t>
      </w:r>
      <w:r w:rsidR="005008D2" w:rsidRPr="00EB1C02">
        <w:rPr>
          <w:rFonts w:cs="Courier New"/>
        </w:rPr>
        <w:t>index investing</w:t>
      </w:r>
      <w:r w:rsidR="00BE1E11" w:rsidRPr="00EB1C02">
        <w:rPr>
          <w:rFonts w:cs="Courier New"/>
        </w:rPr>
        <w:t xml:space="preserve">, </w:t>
      </w:r>
      <w:r w:rsidR="001D1A01">
        <w:rPr>
          <w:rFonts w:cs="Courier New"/>
        </w:rPr>
        <w:t>but</w:t>
      </w:r>
      <w:r w:rsidR="00BE1E11" w:rsidRPr="00EB1C02">
        <w:rPr>
          <w:rFonts w:cs="Courier New"/>
        </w:rPr>
        <w:t xml:space="preserve"> also </w:t>
      </w:r>
      <w:r w:rsidR="001D1A01">
        <w:rPr>
          <w:rFonts w:cs="Courier New"/>
        </w:rPr>
        <w:t>comments</w:t>
      </w:r>
      <w:r w:rsidR="00BE1E11" w:rsidRPr="00EB1C02">
        <w:rPr>
          <w:rFonts w:cs="Courier New"/>
        </w:rPr>
        <w:t xml:space="preserve"> on the likelihood that we are in an AI bubble</w:t>
      </w:r>
      <w:r w:rsidR="001D1A01">
        <w:rPr>
          <w:rFonts w:cs="Courier New"/>
        </w:rPr>
        <w:t xml:space="preserve"> and</w:t>
      </w:r>
      <w:r w:rsidR="007F01B8" w:rsidRPr="00EB1C02">
        <w:rPr>
          <w:rFonts w:cs="Courier New"/>
        </w:rPr>
        <w:t xml:space="preserve"> </w:t>
      </w:r>
      <w:r w:rsidR="00BE1E11" w:rsidRPr="00EB1C02">
        <w:rPr>
          <w:rFonts w:cs="Courier New"/>
        </w:rPr>
        <w:t>suggest</w:t>
      </w:r>
      <w:r>
        <w:rPr>
          <w:rFonts w:cs="Courier New"/>
        </w:rPr>
        <w:t>s</w:t>
      </w:r>
      <w:r w:rsidR="007F01B8" w:rsidRPr="00EB1C02">
        <w:rPr>
          <w:rFonts w:cs="Courier New"/>
        </w:rPr>
        <w:t xml:space="preserve"> </w:t>
      </w:r>
      <w:r w:rsidR="003401B6" w:rsidRPr="00EB1C02">
        <w:rPr>
          <w:rFonts w:cs="Courier New"/>
        </w:rPr>
        <w:t xml:space="preserve">that </w:t>
      </w:r>
      <w:r w:rsidR="007F01B8" w:rsidRPr="00EB1C02">
        <w:rPr>
          <w:rFonts w:cs="Courier New"/>
        </w:rPr>
        <w:t xml:space="preserve">readers consider adding exposure to </w:t>
      </w:r>
      <w:r w:rsidR="00A30DCC" w:rsidRPr="00EB1C02">
        <w:rPr>
          <w:rFonts w:cs="Courier New"/>
        </w:rPr>
        <w:t xml:space="preserve">international stocks. </w:t>
      </w:r>
      <w:r w:rsidR="00BE1E11" w:rsidRPr="00EB1C02">
        <w:rPr>
          <w:rFonts w:cs="Courier New"/>
        </w:rPr>
        <w:t>S</w:t>
      </w:r>
      <w:r w:rsidR="00A30DCC" w:rsidRPr="00EB1C02">
        <w:rPr>
          <w:rFonts w:cs="Courier New"/>
        </w:rPr>
        <w:t xml:space="preserve">uch </w:t>
      </w:r>
      <w:r w:rsidR="003401B6" w:rsidRPr="00EB1C02">
        <w:rPr>
          <w:rFonts w:cs="Courier New"/>
        </w:rPr>
        <w:t>prognostication</w:t>
      </w:r>
      <w:r w:rsidR="00A30DCC" w:rsidRPr="00EB1C02">
        <w:rPr>
          <w:rFonts w:cs="Courier New"/>
        </w:rPr>
        <w:t xml:space="preserve"> </w:t>
      </w:r>
      <w:r w:rsidR="001D614D" w:rsidRPr="00EB1C02">
        <w:rPr>
          <w:rFonts w:cs="Courier New"/>
        </w:rPr>
        <w:t xml:space="preserve">seems </w:t>
      </w:r>
      <w:r w:rsidR="007F01B8" w:rsidRPr="00EB1C02">
        <w:rPr>
          <w:rFonts w:cs="Courier New"/>
        </w:rPr>
        <w:t xml:space="preserve">to </w:t>
      </w:r>
      <w:r w:rsidR="00BE1E11" w:rsidRPr="00EB1C02">
        <w:rPr>
          <w:rFonts w:cs="Courier New"/>
        </w:rPr>
        <w:t>leverage</w:t>
      </w:r>
      <w:r w:rsidR="001D614D" w:rsidRPr="00EB1C02">
        <w:rPr>
          <w:rFonts w:cs="Courier New"/>
        </w:rPr>
        <w:t xml:space="preserve"> </w:t>
      </w:r>
      <w:r w:rsidR="00A30DCC" w:rsidRPr="00EB1C02">
        <w:rPr>
          <w:rFonts w:cs="Courier New"/>
        </w:rPr>
        <w:t xml:space="preserve">the kind of </w:t>
      </w:r>
      <w:r w:rsidR="008C4B66">
        <w:rPr>
          <w:rFonts w:cs="Courier New"/>
        </w:rPr>
        <w:t>insight</w:t>
      </w:r>
      <w:r w:rsidR="001D614D" w:rsidRPr="00EB1C02">
        <w:rPr>
          <w:rFonts w:cs="Courier New"/>
        </w:rPr>
        <w:t xml:space="preserve"> that </w:t>
      </w:r>
      <w:r w:rsidR="00A30DCC" w:rsidRPr="00EB1C02">
        <w:rPr>
          <w:rFonts w:cs="Courier New"/>
        </w:rPr>
        <w:t xml:space="preserve">a strict interpretation of </w:t>
      </w:r>
      <w:r w:rsidR="001D1A01">
        <w:rPr>
          <w:rFonts w:cs="Courier New"/>
        </w:rPr>
        <w:t>the random walk hypothesis</w:t>
      </w:r>
      <w:r w:rsidR="007F01B8" w:rsidRPr="00EB1C02">
        <w:rPr>
          <w:rFonts w:cs="Courier New"/>
        </w:rPr>
        <w:t xml:space="preserve"> </w:t>
      </w:r>
      <w:r w:rsidR="005008D2" w:rsidRPr="00EB1C02">
        <w:rPr>
          <w:rFonts w:cs="Courier New"/>
        </w:rPr>
        <w:t xml:space="preserve">says </w:t>
      </w:r>
      <w:r w:rsidR="007F01B8" w:rsidRPr="00EB1C02">
        <w:rPr>
          <w:rFonts w:cs="Courier New"/>
        </w:rPr>
        <w:t>c</w:t>
      </w:r>
      <w:r w:rsidR="00A30DCC" w:rsidRPr="00EB1C02">
        <w:rPr>
          <w:rFonts w:cs="Courier New"/>
        </w:rPr>
        <w:t>annot</w:t>
      </w:r>
      <w:r w:rsidR="007F01B8" w:rsidRPr="00EB1C02">
        <w:rPr>
          <w:rFonts w:cs="Courier New"/>
        </w:rPr>
        <w:t xml:space="preserve"> exist.</w:t>
      </w:r>
    </w:p>
    <w:p w14:paraId="597C6F13" w14:textId="77777777" w:rsidR="00E95D51" w:rsidRDefault="005008D2">
      <w:pPr>
        <w:rPr>
          <w:rFonts w:cs="Courier New"/>
        </w:rPr>
      </w:pPr>
      <w:r w:rsidRPr="00EB1C02">
        <w:rPr>
          <w:rFonts w:cs="Courier New"/>
        </w:rPr>
        <w:lastRenderedPageBreak/>
        <w:t xml:space="preserve">Perhaps that is because, like many things, </w:t>
      </w:r>
      <w:r w:rsidR="00E95D51">
        <w:rPr>
          <w:rFonts w:cs="Courier New"/>
        </w:rPr>
        <w:t xml:space="preserve">the random walk hypothesis is </w:t>
      </w:r>
      <w:r w:rsidRPr="00EB1C02">
        <w:rPr>
          <w:rFonts w:cs="Courier New"/>
        </w:rPr>
        <w:t xml:space="preserve">true only </w:t>
      </w:r>
      <w:r w:rsidR="00213BEB">
        <w:rPr>
          <w:rFonts w:cs="Courier New"/>
        </w:rPr>
        <w:t xml:space="preserve">up to </w:t>
      </w:r>
      <w:r w:rsidR="001D1A01">
        <w:rPr>
          <w:rFonts w:cs="Courier New"/>
        </w:rPr>
        <w:t xml:space="preserve">a </w:t>
      </w:r>
      <w:r w:rsidR="00E95D51">
        <w:rPr>
          <w:rFonts w:cs="Courier New"/>
        </w:rPr>
        <w:t>point</w:t>
      </w:r>
      <w:r w:rsidRPr="00EB1C02">
        <w:rPr>
          <w:rFonts w:cs="Courier New"/>
        </w:rPr>
        <w:t>.</w:t>
      </w:r>
      <w:r w:rsidR="00E95D51">
        <w:rPr>
          <w:rFonts w:cs="Courier New"/>
        </w:rPr>
        <w:t xml:space="preserve"> </w:t>
      </w:r>
      <w:r w:rsidR="001D1A01">
        <w:rPr>
          <w:rFonts w:cs="Courier New"/>
        </w:rPr>
        <w:t>Undoubtedly</w:t>
      </w:r>
      <w:r w:rsidR="00BE1E11" w:rsidRPr="00EB1C02">
        <w:rPr>
          <w:rFonts w:cs="Courier New"/>
        </w:rPr>
        <w:t xml:space="preserve"> t</w:t>
      </w:r>
      <w:r w:rsidRPr="00EB1C02">
        <w:rPr>
          <w:rFonts w:cs="Courier New"/>
        </w:rPr>
        <w:t xml:space="preserve">here is </w:t>
      </w:r>
      <w:r w:rsidR="00213BEB">
        <w:rPr>
          <w:rFonts w:cs="Courier New"/>
        </w:rPr>
        <w:t>an element of random</w:t>
      </w:r>
      <w:r w:rsidR="008C4B66">
        <w:rPr>
          <w:rFonts w:cs="Courier New"/>
        </w:rPr>
        <w:t>, unpredictable</w:t>
      </w:r>
      <w:r w:rsidR="00213BEB">
        <w:rPr>
          <w:rFonts w:cs="Courier New"/>
        </w:rPr>
        <w:t xml:space="preserve"> </w:t>
      </w:r>
      <w:r w:rsidRPr="00EB1C02">
        <w:rPr>
          <w:rFonts w:cs="Courier New"/>
        </w:rPr>
        <w:t xml:space="preserve">noise in </w:t>
      </w:r>
      <w:r w:rsidR="00A74CBA" w:rsidRPr="00EB1C02">
        <w:rPr>
          <w:rFonts w:cs="Courier New"/>
        </w:rPr>
        <w:t>market movements</w:t>
      </w:r>
      <w:r w:rsidRPr="00EB1C02">
        <w:rPr>
          <w:rFonts w:cs="Courier New"/>
        </w:rPr>
        <w:t xml:space="preserve">. But </w:t>
      </w:r>
      <w:r w:rsidR="00D828FB" w:rsidRPr="00EB1C02">
        <w:rPr>
          <w:rFonts w:cs="Courier New"/>
        </w:rPr>
        <w:t xml:space="preserve">is </w:t>
      </w:r>
      <w:r w:rsidR="00A74CBA" w:rsidRPr="00EB1C02">
        <w:rPr>
          <w:rFonts w:cs="Courier New"/>
        </w:rPr>
        <w:t>there also a</w:t>
      </w:r>
      <w:r w:rsidR="00213BEB">
        <w:rPr>
          <w:rFonts w:cs="Courier New"/>
        </w:rPr>
        <w:t>n element</w:t>
      </w:r>
      <w:r w:rsidR="00A74CBA" w:rsidRPr="00EB1C02">
        <w:rPr>
          <w:rFonts w:cs="Courier New"/>
        </w:rPr>
        <w:t xml:space="preserve"> of </w:t>
      </w:r>
      <w:r w:rsidR="00D828FB" w:rsidRPr="00EB1C02">
        <w:rPr>
          <w:rFonts w:cs="Courier New"/>
        </w:rPr>
        <w:t>signal</w:t>
      </w:r>
      <w:r w:rsidR="00A74CBA" w:rsidRPr="00EB1C02">
        <w:rPr>
          <w:rFonts w:cs="Courier New"/>
        </w:rPr>
        <w:t xml:space="preserve"> which </w:t>
      </w:r>
      <w:r w:rsidR="00927517">
        <w:rPr>
          <w:rFonts w:cs="Courier New"/>
        </w:rPr>
        <w:t xml:space="preserve">careful </w:t>
      </w:r>
      <w:r w:rsidR="00A74CBA" w:rsidRPr="00EB1C02">
        <w:rPr>
          <w:rFonts w:cs="Courier New"/>
        </w:rPr>
        <w:t>analysis can uncover</w:t>
      </w:r>
      <w:r w:rsidR="00BE1E11" w:rsidRPr="00EB1C02">
        <w:rPr>
          <w:rFonts w:cs="Courier New"/>
        </w:rPr>
        <w:t>?</w:t>
      </w:r>
    </w:p>
    <w:p w14:paraId="378657F0" w14:textId="34FF3487" w:rsidR="00A74CBA" w:rsidRPr="00EB1C02" w:rsidRDefault="00213BEB">
      <w:pPr>
        <w:rPr>
          <w:rFonts w:cs="Courier New"/>
        </w:rPr>
      </w:pPr>
      <w:r>
        <w:rPr>
          <w:rFonts w:cs="Courier New"/>
        </w:rPr>
        <w:t xml:space="preserve">Both </w:t>
      </w:r>
      <w:r w:rsidR="00A74CBA" w:rsidRPr="00EB1C02">
        <w:rPr>
          <w:rFonts w:cs="Courier New"/>
        </w:rPr>
        <w:t>serious academic work</w:t>
      </w:r>
      <w:r>
        <w:rPr>
          <w:rFonts w:cs="Courier New"/>
        </w:rPr>
        <w:t xml:space="preserve"> and</w:t>
      </w:r>
      <w:r w:rsidR="00A74CBA" w:rsidRPr="00EB1C02">
        <w:rPr>
          <w:rFonts w:cs="Courier New"/>
        </w:rPr>
        <w:t xml:space="preserve"> the record</w:t>
      </w:r>
      <w:r>
        <w:rPr>
          <w:rFonts w:cs="Courier New"/>
        </w:rPr>
        <w:t>s</w:t>
      </w:r>
      <w:r w:rsidR="00A74CBA" w:rsidRPr="00EB1C02">
        <w:rPr>
          <w:rFonts w:cs="Courier New"/>
        </w:rPr>
        <w:t xml:space="preserve"> of successful active managers say yes. </w:t>
      </w:r>
      <w:r>
        <w:rPr>
          <w:rFonts w:cs="Courier New"/>
        </w:rPr>
        <w:t>For thirty years</w:t>
      </w:r>
      <w:r w:rsidR="008C4B66">
        <w:rPr>
          <w:rFonts w:cs="Courier New"/>
        </w:rPr>
        <w:t>,</w:t>
      </w:r>
      <w:r>
        <w:rPr>
          <w:rFonts w:cs="Courier New"/>
        </w:rPr>
        <w:t xml:space="preserve"> Smith Group Asset Management has executed </w:t>
      </w:r>
      <w:r w:rsidR="00927517">
        <w:rPr>
          <w:rFonts w:cs="Courier New"/>
        </w:rPr>
        <w:t>a</w:t>
      </w:r>
      <w:r>
        <w:rPr>
          <w:rFonts w:cs="Courier New"/>
        </w:rPr>
        <w:t xml:space="preserve"> management process </w:t>
      </w:r>
      <w:r w:rsidR="00927517">
        <w:rPr>
          <w:rFonts w:cs="Courier New"/>
        </w:rPr>
        <w:t xml:space="preserve">designed </w:t>
      </w:r>
      <w:r>
        <w:rPr>
          <w:rFonts w:cs="Courier New"/>
        </w:rPr>
        <w:t xml:space="preserve">around faster than normal earnings growth. And for thirty years </w:t>
      </w:r>
      <w:r w:rsidR="00927517">
        <w:rPr>
          <w:rFonts w:cs="Courier New"/>
        </w:rPr>
        <w:t>Smith Group has</w:t>
      </w:r>
      <w:r>
        <w:rPr>
          <w:rFonts w:cs="Courier New"/>
        </w:rPr>
        <w:t xml:space="preserve"> produced </w:t>
      </w:r>
      <w:r w:rsidR="00A74CBA" w:rsidRPr="00EB1C02">
        <w:rPr>
          <w:rFonts w:cs="Courier New"/>
        </w:rPr>
        <w:t xml:space="preserve">what the random walk hypothesis says </w:t>
      </w:r>
      <w:r w:rsidR="00D53B8D">
        <w:rPr>
          <w:rFonts w:cs="Courier New"/>
        </w:rPr>
        <w:t xml:space="preserve">will </w:t>
      </w:r>
      <w:r w:rsidR="00A74CBA" w:rsidRPr="00EB1C02">
        <w:rPr>
          <w:rFonts w:cs="Courier New"/>
        </w:rPr>
        <w:t xml:space="preserve">not happen — </w:t>
      </w:r>
      <w:r>
        <w:rPr>
          <w:rFonts w:cs="Courier New"/>
        </w:rPr>
        <w:t xml:space="preserve">long term </w:t>
      </w:r>
      <w:r w:rsidR="00A74CBA" w:rsidRPr="00EB1C02">
        <w:rPr>
          <w:rFonts w:cs="Courier New"/>
        </w:rPr>
        <w:t>excess returns without excess risk.</w:t>
      </w:r>
    </w:p>
    <w:p w14:paraId="476E7099" w14:textId="377901C3" w:rsidR="00213BEB" w:rsidRPr="00213BEB" w:rsidRDefault="00213BEB">
      <w:pPr>
        <w:rPr>
          <w:rFonts w:cs="Courier New"/>
          <w:b/>
          <w:bCs/>
        </w:rPr>
      </w:pPr>
      <w:r w:rsidRPr="00213BEB">
        <w:rPr>
          <w:rFonts w:cs="Courier New"/>
          <w:b/>
          <w:bCs/>
        </w:rPr>
        <w:t>A Revolutionary Era in Finance</w:t>
      </w:r>
    </w:p>
    <w:p w14:paraId="1F6647AA" w14:textId="322539CF" w:rsidR="00525168" w:rsidRPr="00EB1C02" w:rsidRDefault="00213BEB" w:rsidP="008C51F6">
      <w:pPr>
        <w:rPr>
          <w:rFonts w:cs="Courier New"/>
        </w:rPr>
      </w:pPr>
      <w:r>
        <w:rPr>
          <w:rFonts w:cs="Courier New"/>
        </w:rPr>
        <w:t>Malkiel’s book</w:t>
      </w:r>
      <w:r w:rsidR="008C51F6">
        <w:rPr>
          <w:rFonts w:cs="Courier New"/>
        </w:rPr>
        <w:t xml:space="preserve"> </w:t>
      </w:r>
      <w:r w:rsidR="007519D7">
        <w:rPr>
          <w:rFonts w:cs="Courier New"/>
        </w:rPr>
        <w:t>claim</w:t>
      </w:r>
      <w:r w:rsidR="008C51F6">
        <w:rPr>
          <w:rFonts w:cs="Courier New"/>
        </w:rPr>
        <w:t xml:space="preserve">ing that stock prices are </w:t>
      </w:r>
      <w:r w:rsidR="00927517">
        <w:rPr>
          <w:rFonts w:cs="Courier New"/>
        </w:rPr>
        <w:t xml:space="preserve">essentially </w:t>
      </w:r>
      <w:r w:rsidR="008C51F6">
        <w:rPr>
          <w:rFonts w:cs="Courier New"/>
        </w:rPr>
        <w:t xml:space="preserve">unpredictable </w:t>
      </w:r>
      <w:r>
        <w:rPr>
          <w:rFonts w:cs="Courier New"/>
        </w:rPr>
        <w:t xml:space="preserve">came out in 1973. </w:t>
      </w:r>
      <w:r w:rsidR="008C51F6">
        <w:rPr>
          <w:rFonts w:cs="Courier New"/>
        </w:rPr>
        <w:t xml:space="preserve">At the time, its recommendation of passive exposure to the broad market was hard if not impossible for </w:t>
      </w:r>
      <w:r w:rsidR="00D35CD8">
        <w:rPr>
          <w:rFonts w:cs="Courier New"/>
        </w:rPr>
        <w:t xml:space="preserve">ordinary </w:t>
      </w:r>
      <w:r w:rsidR="008C51F6">
        <w:rPr>
          <w:rFonts w:cs="Courier New"/>
        </w:rPr>
        <w:t>investors to achieve. But in 197</w:t>
      </w:r>
      <w:r w:rsidR="00D53B8D">
        <w:rPr>
          <w:rFonts w:cs="Courier New"/>
        </w:rPr>
        <w:t>6</w:t>
      </w:r>
      <w:r w:rsidR="008C51F6">
        <w:rPr>
          <w:rFonts w:cs="Courier New"/>
        </w:rPr>
        <w:t xml:space="preserve"> Vanguard </w:t>
      </w:r>
      <w:r w:rsidR="00F94C23" w:rsidRPr="00EB1C02">
        <w:rPr>
          <w:rFonts w:cs="Courier New"/>
        </w:rPr>
        <w:t>offered</w:t>
      </w:r>
      <w:r w:rsidR="00525168" w:rsidRPr="00EB1C02">
        <w:rPr>
          <w:rFonts w:cs="Courier New"/>
        </w:rPr>
        <w:t xml:space="preserve"> the first widely available index fund</w:t>
      </w:r>
      <w:r w:rsidR="008C669A" w:rsidRPr="00EB1C02">
        <w:rPr>
          <w:rFonts w:cs="Courier New"/>
        </w:rPr>
        <w:t xml:space="preserve">, allowing individuals to invest </w:t>
      </w:r>
      <w:r w:rsidR="00927517">
        <w:rPr>
          <w:rFonts w:cs="Courier New"/>
        </w:rPr>
        <w:t xml:space="preserve">in </w:t>
      </w:r>
      <w:r w:rsidR="008C669A" w:rsidRPr="00EB1C02">
        <w:rPr>
          <w:rFonts w:cs="Courier New"/>
        </w:rPr>
        <w:t xml:space="preserve">the random walk hypothesis. </w:t>
      </w:r>
    </w:p>
    <w:p w14:paraId="0EE4EBFE" w14:textId="2997B017" w:rsidR="00F94C23" w:rsidRPr="00EB1C02" w:rsidRDefault="008C4B66">
      <w:pPr>
        <w:rPr>
          <w:rFonts w:cs="Courier New"/>
        </w:rPr>
      </w:pPr>
      <w:r>
        <w:rPr>
          <w:rFonts w:cs="Courier New"/>
        </w:rPr>
        <w:t>Although</w:t>
      </w:r>
      <w:r w:rsidR="00BB3799" w:rsidRPr="00EB1C02">
        <w:rPr>
          <w:rFonts w:cs="Courier New"/>
        </w:rPr>
        <w:t xml:space="preserve"> </w:t>
      </w:r>
      <w:r w:rsidR="00525168" w:rsidRPr="00EB1C02">
        <w:rPr>
          <w:rFonts w:cs="Courier New"/>
        </w:rPr>
        <w:t xml:space="preserve">Malkiel’s </w:t>
      </w:r>
      <w:r w:rsidR="00BB3799" w:rsidRPr="00EB1C02">
        <w:rPr>
          <w:rFonts w:cs="Courier New"/>
        </w:rPr>
        <w:t>boo</w:t>
      </w:r>
      <w:r w:rsidR="00525168" w:rsidRPr="00EB1C02">
        <w:rPr>
          <w:rFonts w:cs="Courier New"/>
        </w:rPr>
        <w:t xml:space="preserve">k </w:t>
      </w:r>
      <w:r w:rsidR="008C669A" w:rsidRPr="00EB1C02">
        <w:rPr>
          <w:rFonts w:cs="Courier New"/>
        </w:rPr>
        <w:t xml:space="preserve">had </w:t>
      </w:r>
      <w:r w:rsidR="00525168" w:rsidRPr="00EB1C02">
        <w:rPr>
          <w:rFonts w:cs="Courier New"/>
        </w:rPr>
        <w:t xml:space="preserve">generated </w:t>
      </w:r>
      <w:r w:rsidR="008C669A" w:rsidRPr="00EB1C02">
        <w:rPr>
          <w:rFonts w:cs="Courier New"/>
        </w:rPr>
        <w:t xml:space="preserve">instant </w:t>
      </w:r>
      <w:r w:rsidR="008C51F6">
        <w:rPr>
          <w:rFonts w:cs="Courier New"/>
        </w:rPr>
        <w:t>controversy and profits</w:t>
      </w:r>
      <w:r w:rsidR="00927517">
        <w:rPr>
          <w:rFonts w:cs="Courier New"/>
        </w:rPr>
        <w:t xml:space="preserve">, </w:t>
      </w:r>
      <w:r w:rsidR="00F94C23" w:rsidRPr="00EB1C02">
        <w:rPr>
          <w:rFonts w:cs="Courier New"/>
        </w:rPr>
        <w:t xml:space="preserve">index investing </w:t>
      </w:r>
      <w:r w:rsidR="008C669A" w:rsidRPr="00EB1C02">
        <w:rPr>
          <w:rFonts w:cs="Courier New"/>
        </w:rPr>
        <w:t>h</w:t>
      </w:r>
      <w:r w:rsidR="00F94C23" w:rsidRPr="00EB1C02">
        <w:rPr>
          <w:rFonts w:cs="Courier New"/>
        </w:rPr>
        <w:t>a</w:t>
      </w:r>
      <w:r w:rsidR="008C669A" w:rsidRPr="00EB1C02">
        <w:rPr>
          <w:rFonts w:cs="Courier New"/>
        </w:rPr>
        <w:t>d</w:t>
      </w:r>
      <w:r w:rsidR="00F94C23" w:rsidRPr="00EB1C02">
        <w:rPr>
          <w:rFonts w:cs="Courier New"/>
        </w:rPr>
        <w:t xml:space="preserve"> a long, slow bu</w:t>
      </w:r>
      <w:r w:rsidR="008C669A" w:rsidRPr="00EB1C02">
        <w:rPr>
          <w:rFonts w:cs="Courier New"/>
        </w:rPr>
        <w:t>rn</w:t>
      </w:r>
      <w:r w:rsidR="00F94C23" w:rsidRPr="00EB1C02">
        <w:rPr>
          <w:rFonts w:cs="Courier New"/>
        </w:rPr>
        <w:t xml:space="preserve"> before exploding. </w:t>
      </w:r>
      <w:r w:rsidR="008C669A" w:rsidRPr="00EB1C02">
        <w:rPr>
          <w:rFonts w:cs="Courier New"/>
        </w:rPr>
        <w:t xml:space="preserve">In </w:t>
      </w:r>
      <w:r w:rsidR="00D53B8D">
        <w:rPr>
          <w:rFonts w:cs="Courier New"/>
        </w:rPr>
        <w:t xml:space="preserve">February </w:t>
      </w:r>
      <w:r w:rsidR="008C669A" w:rsidRPr="00EB1C02">
        <w:rPr>
          <w:rFonts w:cs="Courier New"/>
        </w:rPr>
        <w:t>1993, i</w:t>
      </w:r>
      <w:r w:rsidR="00F94C23" w:rsidRPr="00EB1C02">
        <w:rPr>
          <w:rFonts w:cs="Courier New"/>
        </w:rPr>
        <w:t>ndex funds accounted for</w:t>
      </w:r>
      <w:r w:rsidR="008C669A" w:rsidRPr="00EB1C02">
        <w:rPr>
          <w:rFonts w:cs="Courier New"/>
        </w:rPr>
        <w:t xml:space="preserve"> only</w:t>
      </w:r>
      <w:r w:rsidR="00F94C23" w:rsidRPr="00EB1C02">
        <w:rPr>
          <w:rFonts w:cs="Courier New"/>
        </w:rPr>
        <w:t xml:space="preserve"> </w:t>
      </w:r>
      <w:hyperlink r:id="rId9" w:history="1">
        <w:r w:rsidR="00F94C23" w:rsidRPr="00EB1C02">
          <w:rPr>
            <w:rStyle w:val="Hyperlink"/>
            <w:rFonts w:cs="Courier New"/>
          </w:rPr>
          <w:t>1.77 p</w:t>
        </w:r>
        <w:r w:rsidR="00F94C23" w:rsidRPr="00EB1C02">
          <w:rPr>
            <w:rStyle w:val="Hyperlink"/>
            <w:rFonts w:cs="Courier New"/>
          </w:rPr>
          <w:t>e</w:t>
        </w:r>
        <w:r w:rsidR="00F94C23" w:rsidRPr="00EB1C02">
          <w:rPr>
            <w:rStyle w:val="Hyperlink"/>
            <w:rFonts w:cs="Courier New"/>
          </w:rPr>
          <w:t>rcent</w:t>
        </w:r>
      </w:hyperlink>
      <w:r w:rsidR="00F94C23" w:rsidRPr="00EB1C02">
        <w:rPr>
          <w:rFonts w:cs="Courier New"/>
        </w:rPr>
        <w:t xml:space="preserve"> of U.S. fund assets. B</w:t>
      </w:r>
      <w:r w:rsidR="00D35CD8">
        <w:rPr>
          <w:rFonts w:cs="Courier New"/>
        </w:rPr>
        <w:t>ut b</w:t>
      </w:r>
      <w:r w:rsidR="00F94C23" w:rsidRPr="00EB1C02">
        <w:rPr>
          <w:rFonts w:cs="Courier New"/>
        </w:rPr>
        <w:t xml:space="preserve">y </w:t>
      </w:r>
      <w:r w:rsidR="00A47FA8" w:rsidRPr="00EB1C02">
        <w:rPr>
          <w:rFonts w:cs="Courier New"/>
        </w:rPr>
        <w:t xml:space="preserve">June </w:t>
      </w:r>
      <w:r w:rsidR="00F94C23" w:rsidRPr="00EB1C02">
        <w:rPr>
          <w:rFonts w:cs="Courier New"/>
        </w:rPr>
        <w:t>2025</w:t>
      </w:r>
      <w:r w:rsidR="008C669A" w:rsidRPr="00EB1C02">
        <w:rPr>
          <w:rFonts w:cs="Courier New"/>
        </w:rPr>
        <w:t>,</w:t>
      </w:r>
      <w:r w:rsidR="00F94C23" w:rsidRPr="00EB1C02">
        <w:rPr>
          <w:rFonts w:cs="Courier New"/>
        </w:rPr>
        <w:t xml:space="preserve"> that figure was 33.73 percent. </w:t>
      </w:r>
      <w:r w:rsidR="00A47FA8" w:rsidRPr="00EB1C02">
        <w:rPr>
          <w:rFonts w:cs="Courier New"/>
        </w:rPr>
        <w:t>And much of th</w:t>
      </w:r>
      <w:r w:rsidR="008C51F6">
        <w:rPr>
          <w:rFonts w:cs="Courier New"/>
        </w:rPr>
        <w:t>is</w:t>
      </w:r>
      <w:r w:rsidR="00A47FA8" w:rsidRPr="00EB1C02">
        <w:rPr>
          <w:rFonts w:cs="Courier New"/>
        </w:rPr>
        <w:t xml:space="preserve"> growth </w:t>
      </w:r>
      <w:r w:rsidR="008C51F6">
        <w:rPr>
          <w:rFonts w:cs="Courier New"/>
        </w:rPr>
        <w:t>in</w:t>
      </w:r>
      <w:r w:rsidR="00A47FA8" w:rsidRPr="00EB1C02">
        <w:rPr>
          <w:rFonts w:cs="Courier New"/>
        </w:rPr>
        <w:t xml:space="preserve"> </w:t>
      </w:r>
      <w:r w:rsidR="00D53B8D">
        <w:rPr>
          <w:rFonts w:cs="Courier New"/>
        </w:rPr>
        <w:t>passive</w:t>
      </w:r>
      <w:r w:rsidR="00A47FA8" w:rsidRPr="00EB1C02">
        <w:rPr>
          <w:rFonts w:cs="Courier New"/>
        </w:rPr>
        <w:t xml:space="preserve"> funds </w:t>
      </w:r>
      <w:r w:rsidR="00D53B8D">
        <w:rPr>
          <w:rFonts w:cs="Courier New"/>
        </w:rPr>
        <w:t>“</w:t>
      </w:r>
      <w:hyperlink r:id="rId10" w:history="1">
        <w:r w:rsidR="00D53B8D">
          <w:rPr>
            <w:rStyle w:val="Hyperlink"/>
            <w:rFonts w:cs="Courier New"/>
          </w:rPr>
          <w:t xml:space="preserve">has come largely </w:t>
        </w:r>
        <w:r w:rsidR="00A47FA8" w:rsidRPr="00EB1C02">
          <w:rPr>
            <w:rStyle w:val="Hyperlink"/>
            <w:rFonts w:cs="Courier New"/>
          </w:rPr>
          <w:t>at the expens</w:t>
        </w:r>
        <w:r w:rsidR="00A47FA8" w:rsidRPr="00EB1C02">
          <w:rPr>
            <w:rStyle w:val="Hyperlink"/>
            <w:rFonts w:cs="Courier New"/>
          </w:rPr>
          <w:t>e</w:t>
        </w:r>
        <w:r w:rsidR="00A47FA8" w:rsidRPr="00EB1C02">
          <w:rPr>
            <w:rStyle w:val="Hyperlink"/>
            <w:rFonts w:cs="Courier New"/>
          </w:rPr>
          <w:t xml:space="preserve"> of traditional active managers.”</w:t>
        </w:r>
      </w:hyperlink>
    </w:p>
    <w:p w14:paraId="3A5435C3" w14:textId="1929BE16" w:rsidR="002009BD" w:rsidRPr="00EB1C02" w:rsidRDefault="008C669A">
      <w:pPr>
        <w:rPr>
          <w:rFonts w:cs="Courier New"/>
        </w:rPr>
      </w:pPr>
      <w:r w:rsidRPr="00EB1C02">
        <w:rPr>
          <w:rFonts w:cs="Courier New"/>
        </w:rPr>
        <w:t xml:space="preserve">Now we are at a point where </w:t>
      </w:r>
      <w:r w:rsidR="0075081A" w:rsidRPr="00EB1C02">
        <w:rPr>
          <w:rFonts w:cs="Courier New"/>
        </w:rPr>
        <w:t xml:space="preserve">many </w:t>
      </w:r>
      <w:r w:rsidR="001D1A01">
        <w:rPr>
          <w:rFonts w:cs="Courier New"/>
        </w:rPr>
        <w:t>have bought</w:t>
      </w:r>
      <w:r w:rsidR="00BB3799" w:rsidRPr="00EB1C02">
        <w:rPr>
          <w:rFonts w:cs="Courier New"/>
        </w:rPr>
        <w:t xml:space="preserve"> </w:t>
      </w:r>
      <w:r w:rsidR="00D53B8D">
        <w:rPr>
          <w:rFonts w:cs="Courier New"/>
        </w:rPr>
        <w:t xml:space="preserve">into </w:t>
      </w:r>
      <w:r w:rsidR="00BB3799" w:rsidRPr="00EB1C02">
        <w:rPr>
          <w:rFonts w:cs="Courier New"/>
        </w:rPr>
        <w:t xml:space="preserve">the absolutist </w:t>
      </w:r>
      <w:r w:rsidR="00927517">
        <w:rPr>
          <w:rFonts w:cs="Courier New"/>
        </w:rPr>
        <w:t>position</w:t>
      </w:r>
      <w:r w:rsidRPr="00EB1C02">
        <w:rPr>
          <w:rFonts w:cs="Courier New"/>
        </w:rPr>
        <w:t xml:space="preserve"> that</w:t>
      </w:r>
      <w:r w:rsidR="0075081A" w:rsidRPr="00EB1C02">
        <w:rPr>
          <w:rFonts w:cs="Courier New"/>
        </w:rPr>
        <w:t xml:space="preserve"> </w:t>
      </w:r>
      <w:r w:rsidR="008C51F6">
        <w:rPr>
          <w:rFonts w:cs="Courier New"/>
        </w:rPr>
        <w:t>stock</w:t>
      </w:r>
      <w:r w:rsidRPr="00EB1C02">
        <w:rPr>
          <w:rFonts w:cs="Courier New"/>
        </w:rPr>
        <w:t xml:space="preserve"> portfolios</w:t>
      </w:r>
      <w:r w:rsidR="008C51F6">
        <w:rPr>
          <w:rFonts w:cs="Courier New"/>
        </w:rPr>
        <w:t>, especially large</w:t>
      </w:r>
      <w:r w:rsidR="00D53B8D">
        <w:rPr>
          <w:rFonts w:cs="Courier New"/>
        </w:rPr>
        <w:t>-</w:t>
      </w:r>
      <w:r w:rsidR="008C51F6">
        <w:rPr>
          <w:rFonts w:cs="Courier New"/>
        </w:rPr>
        <w:t>cap stock portfolios,</w:t>
      </w:r>
      <w:r w:rsidR="0075081A" w:rsidRPr="00EB1C02">
        <w:rPr>
          <w:rFonts w:cs="Courier New"/>
        </w:rPr>
        <w:t xml:space="preserve"> can</w:t>
      </w:r>
      <w:r w:rsidRPr="00EB1C02">
        <w:rPr>
          <w:rFonts w:cs="Courier New"/>
        </w:rPr>
        <w:t>not</w:t>
      </w:r>
      <w:r w:rsidR="0075081A" w:rsidRPr="00EB1C02">
        <w:rPr>
          <w:rFonts w:cs="Courier New"/>
        </w:rPr>
        <w:t xml:space="preserve"> be </w:t>
      </w:r>
      <w:r w:rsidR="002009BD" w:rsidRPr="00EB1C02">
        <w:rPr>
          <w:rFonts w:cs="Courier New"/>
        </w:rPr>
        <w:t>profitab</w:t>
      </w:r>
      <w:r w:rsidR="0075081A" w:rsidRPr="00EB1C02">
        <w:rPr>
          <w:rFonts w:cs="Courier New"/>
        </w:rPr>
        <w:t xml:space="preserve">ly managed </w:t>
      </w:r>
      <w:r w:rsidR="002009BD" w:rsidRPr="00EB1C02">
        <w:rPr>
          <w:rFonts w:cs="Courier New"/>
        </w:rPr>
        <w:t>on an active basis</w:t>
      </w:r>
      <w:r w:rsidR="0075081A" w:rsidRPr="00EB1C02">
        <w:rPr>
          <w:rFonts w:cs="Courier New"/>
        </w:rPr>
        <w:t xml:space="preserve">. </w:t>
      </w:r>
      <w:r w:rsidR="008C51F6">
        <w:rPr>
          <w:rFonts w:cs="Courier New"/>
        </w:rPr>
        <w:t>In that view, passive management is the only way to go, and t</w:t>
      </w:r>
      <w:r w:rsidR="00BB3799" w:rsidRPr="00EB1C02">
        <w:rPr>
          <w:rFonts w:cs="Courier New"/>
        </w:rPr>
        <w:t>he only way to get better</w:t>
      </w:r>
      <w:r w:rsidR="008C51F6">
        <w:rPr>
          <w:rFonts w:cs="Courier New"/>
        </w:rPr>
        <w:t>-</w:t>
      </w:r>
      <w:r w:rsidR="00BB3799" w:rsidRPr="00EB1C02">
        <w:rPr>
          <w:rFonts w:cs="Courier New"/>
        </w:rPr>
        <w:t>than</w:t>
      </w:r>
      <w:r w:rsidR="008C51F6">
        <w:rPr>
          <w:rFonts w:cs="Courier New"/>
        </w:rPr>
        <w:t>-market</w:t>
      </w:r>
      <w:r w:rsidR="00BB3799" w:rsidRPr="00EB1C02">
        <w:rPr>
          <w:rFonts w:cs="Courier New"/>
        </w:rPr>
        <w:t xml:space="preserve"> returns is to take on greater</w:t>
      </w:r>
      <w:r w:rsidR="008C51F6">
        <w:rPr>
          <w:rFonts w:cs="Courier New"/>
        </w:rPr>
        <w:t>-</w:t>
      </w:r>
      <w:r w:rsidR="00BB3799" w:rsidRPr="00EB1C02">
        <w:rPr>
          <w:rFonts w:cs="Courier New"/>
        </w:rPr>
        <w:t>than</w:t>
      </w:r>
      <w:r w:rsidR="008C51F6">
        <w:rPr>
          <w:rFonts w:cs="Courier New"/>
        </w:rPr>
        <w:t>-</w:t>
      </w:r>
      <w:r w:rsidR="00BB3799" w:rsidRPr="00EB1C02">
        <w:rPr>
          <w:rFonts w:cs="Courier New"/>
        </w:rPr>
        <w:t>average risk.</w:t>
      </w:r>
      <w:r w:rsidRPr="00EB1C02">
        <w:rPr>
          <w:rFonts w:cs="Courier New"/>
        </w:rPr>
        <w:t xml:space="preserve"> </w:t>
      </w:r>
    </w:p>
    <w:p w14:paraId="2D19CA38" w14:textId="30A6E67E" w:rsidR="00FC6364" w:rsidRDefault="008C51F6">
      <w:pPr>
        <w:rPr>
          <w:rFonts w:cs="Courier New"/>
        </w:rPr>
      </w:pPr>
      <w:r>
        <w:rPr>
          <w:rFonts w:cs="Courier New"/>
        </w:rPr>
        <w:t xml:space="preserve">Thought about closely, that </w:t>
      </w:r>
      <w:r w:rsidR="00927517">
        <w:rPr>
          <w:rFonts w:cs="Courier New"/>
        </w:rPr>
        <w:t>seems</w:t>
      </w:r>
      <w:r>
        <w:rPr>
          <w:rFonts w:cs="Courier New"/>
        </w:rPr>
        <w:t xml:space="preserve"> a strange idea. </w:t>
      </w:r>
      <w:r w:rsidR="00927517" w:rsidRPr="00EB1C02">
        <w:rPr>
          <w:rFonts w:cs="Courier New"/>
        </w:rPr>
        <w:t xml:space="preserve">The stock market is not constructed from dice </w:t>
      </w:r>
      <w:r w:rsidR="008C4B66">
        <w:rPr>
          <w:rFonts w:cs="Courier New"/>
        </w:rPr>
        <w:t>roll</w:t>
      </w:r>
      <w:r w:rsidR="00927517" w:rsidRPr="00EB1C02">
        <w:rPr>
          <w:rFonts w:cs="Courier New"/>
        </w:rPr>
        <w:t xml:space="preserve">s, </w:t>
      </w:r>
      <w:r w:rsidR="00927517">
        <w:rPr>
          <w:rFonts w:cs="Courier New"/>
        </w:rPr>
        <w:t xml:space="preserve">after all, </w:t>
      </w:r>
      <w:r w:rsidR="00927517" w:rsidRPr="00EB1C02">
        <w:rPr>
          <w:rFonts w:cs="Courier New"/>
        </w:rPr>
        <w:t xml:space="preserve">but from the financial performance of </w:t>
      </w:r>
      <w:r w:rsidR="008C4B66">
        <w:rPr>
          <w:rFonts w:cs="Courier New"/>
        </w:rPr>
        <w:t xml:space="preserve">underlying </w:t>
      </w:r>
      <w:r w:rsidR="00927517" w:rsidRPr="00EB1C02">
        <w:rPr>
          <w:rFonts w:cs="Courier New"/>
        </w:rPr>
        <w:t>business</w:t>
      </w:r>
      <w:r w:rsidR="00927517">
        <w:rPr>
          <w:rFonts w:cs="Courier New"/>
        </w:rPr>
        <w:t>es</w:t>
      </w:r>
      <w:r w:rsidR="00927517" w:rsidRPr="00EB1C02">
        <w:rPr>
          <w:rFonts w:cs="Courier New"/>
        </w:rPr>
        <w:t>.</w:t>
      </w:r>
      <w:r w:rsidR="00927517">
        <w:rPr>
          <w:rFonts w:cs="Courier New"/>
        </w:rPr>
        <w:t xml:space="preserve"> For investors, it </w:t>
      </w:r>
      <w:r w:rsidR="008C4B66">
        <w:rPr>
          <w:rFonts w:cs="Courier New"/>
        </w:rPr>
        <w:t>forms</w:t>
      </w:r>
      <w:r w:rsidR="00927517">
        <w:rPr>
          <w:rFonts w:cs="Courier New"/>
        </w:rPr>
        <w:t xml:space="preserve"> a contest in which alternative analyses of the prospects for individual companies compete </w:t>
      </w:r>
      <w:r w:rsidR="00FC6364">
        <w:rPr>
          <w:rFonts w:cs="Courier New"/>
        </w:rPr>
        <w:t>against each other</w:t>
      </w:r>
      <w:r w:rsidR="008C4B66">
        <w:rPr>
          <w:rFonts w:cs="Courier New"/>
        </w:rPr>
        <w:t xml:space="preserve"> for returns</w:t>
      </w:r>
      <w:r w:rsidR="00FC6364">
        <w:rPr>
          <w:rFonts w:cs="Courier New"/>
        </w:rPr>
        <w:t xml:space="preserve">, </w:t>
      </w:r>
      <w:r w:rsidR="008C4B66">
        <w:rPr>
          <w:rFonts w:cs="Courier New"/>
        </w:rPr>
        <w:t>with the ultimate outcome</w:t>
      </w:r>
      <w:r w:rsidR="00FC6364">
        <w:rPr>
          <w:rFonts w:cs="Courier New"/>
        </w:rPr>
        <w:t xml:space="preserve"> tethered to the </w:t>
      </w:r>
      <w:r w:rsidR="001D1A01">
        <w:rPr>
          <w:rFonts w:cs="Courier New"/>
        </w:rPr>
        <w:t xml:space="preserve">shared </w:t>
      </w:r>
      <w:r w:rsidR="00FC6364">
        <w:rPr>
          <w:rFonts w:cs="Courier New"/>
        </w:rPr>
        <w:t>reality of earnings reports</w:t>
      </w:r>
      <w:r w:rsidR="00927517">
        <w:rPr>
          <w:rFonts w:cs="Courier New"/>
        </w:rPr>
        <w:t>.</w:t>
      </w:r>
    </w:p>
    <w:p w14:paraId="2BDB22AB" w14:textId="38909046" w:rsidR="007519D7" w:rsidRDefault="00FC6364" w:rsidP="00D17023">
      <w:pPr>
        <w:rPr>
          <w:rFonts w:cs="Courier New"/>
        </w:rPr>
      </w:pPr>
      <w:r>
        <w:rPr>
          <w:rFonts w:cs="Courier New"/>
        </w:rPr>
        <w:t xml:space="preserve">In such an environment, </w:t>
      </w:r>
      <w:r w:rsidR="00D17023">
        <w:rPr>
          <w:rFonts w:cs="Courier New"/>
        </w:rPr>
        <w:t xml:space="preserve">an average manager may only achieve average risk-adjusted returns, especially over time as luck filters out of the system. But that </w:t>
      </w:r>
      <w:r w:rsidR="002009BD" w:rsidRPr="00EB1C02">
        <w:rPr>
          <w:rFonts w:cs="Courier New"/>
        </w:rPr>
        <w:t xml:space="preserve">does not mean there are no </w:t>
      </w:r>
      <w:proofErr w:type="gramStart"/>
      <w:r w:rsidR="002009BD" w:rsidRPr="00EB1C02">
        <w:rPr>
          <w:rFonts w:cs="Courier New"/>
        </w:rPr>
        <w:t>tails</w:t>
      </w:r>
      <w:proofErr w:type="gramEnd"/>
      <w:r w:rsidR="002009BD" w:rsidRPr="00EB1C02">
        <w:rPr>
          <w:rFonts w:cs="Courier New"/>
        </w:rPr>
        <w:t xml:space="preserve"> in the distribution. </w:t>
      </w:r>
      <w:r w:rsidR="008C669A" w:rsidRPr="00EB1C02">
        <w:rPr>
          <w:rFonts w:cs="Courier New"/>
        </w:rPr>
        <w:t>In what contest</w:t>
      </w:r>
      <w:r>
        <w:rPr>
          <w:rFonts w:cs="Courier New"/>
        </w:rPr>
        <w:t xml:space="preserve">—whether business, athletic or intellectual—do some competitors not outperform through </w:t>
      </w:r>
      <w:r w:rsidR="00837834">
        <w:rPr>
          <w:rFonts w:cs="Courier New"/>
        </w:rPr>
        <w:t>bett</w:t>
      </w:r>
      <w:r w:rsidR="00D53B8D">
        <w:rPr>
          <w:rFonts w:cs="Courier New"/>
        </w:rPr>
        <w:t>er</w:t>
      </w:r>
      <w:r>
        <w:rPr>
          <w:rFonts w:cs="Courier New"/>
        </w:rPr>
        <w:t xml:space="preserve"> skills and </w:t>
      </w:r>
      <w:r w:rsidR="00D17023">
        <w:rPr>
          <w:rFonts w:cs="Courier New"/>
        </w:rPr>
        <w:t>effort</w:t>
      </w:r>
      <w:r>
        <w:rPr>
          <w:rFonts w:cs="Courier New"/>
        </w:rPr>
        <w:t xml:space="preserve">? </w:t>
      </w:r>
      <w:r w:rsidR="002311FA">
        <w:rPr>
          <w:rFonts w:cs="Courier New"/>
        </w:rPr>
        <w:t>Out</w:t>
      </w:r>
      <w:r w:rsidR="00D17023">
        <w:rPr>
          <w:rFonts w:cs="Courier New"/>
        </w:rPr>
        <w:t>performers</w:t>
      </w:r>
      <w:r w:rsidR="002311FA">
        <w:rPr>
          <w:rFonts w:cs="Courier New"/>
        </w:rPr>
        <w:t xml:space="preserve"> </w:t>
      </w:r>
      <w:r w:rsidR="00D17023">
        <w:rPr>
          <w:rFonts w:cs="Courier New"/>
        </w:rPr>
        <w:t>always exist</w:t>
      </w:r>
      <w:r w:rsidR="002311FA">
        <w:rPr>
          <w:rFonts w:cs="Courier New"/>
        </w:rPr>
        <w:t>, and we see th</w:t>
      </w:r>
      <w:r w:rsidR="008C4B66">
        <w:rPr>
          <w:rFonts w:cs="Courier New"/>
        </w:rPr>
        <w:t>e same thing</w:t>
      </w:r>
      <w:r w:rsidR="002311FA">
        <w:rPr>
          <w:rFonts w:cs="Courier New"/>
        </w:rPr>
        <w:t xml:space="preserve"> in the stock market.</w:t>
      </w:r>
    </w:p>
    <w:p w14:paraId="65942F0E" w14:textId="2A2AB695" w:rsidR="008C669A" w:rsidRDefault="00D17023">
      <w:pPr>
        <w:rPr>
          <w:rFonts w:cs="Courier New"/>
        </w:rPr>
      </w:pPr>
      <w:r>
        <w:rPr>
          <w:rFonts w:cs="Courier New"/>
        </w:rPr>
        <w:t>Academic r</w:t>
      </w:r>
      <w:r w:rsidR="007519D7">
        <w:rPr>
          <w:rFonts w:cs="Courier New"/>
        </w:rPr>
        <w:t xml:space="preserve">esearch backs this up. </w:t>
      </w:r>
      <w:hyperlink r:id="rId11" w:history="1">
        <w:r w:rsidR="007519D7" w:rsidRPr="007519D7">
          <w:rPr>
            <w:rStyle w:val="Hyperlink"/>
            <w:rFonts w:cs="Courier New"/>
          </w:rPr>
          <w:t>One classic</w:t>
        </w:r>
        <w:r w:rsidR="007519D7" w:rsidRPr="007519D7">
          <w:rPr>
            <w:rStyle w:val="Hyperlink"/>
            <w:rFonts w:cs="Courier New"/>
          </w:rPr>
          <w:t xml:space="preserve"> </w:t>
        </w:r>
        <w:r w:rsidR="007519D7" w:rsidRPr="007519D7">
          <w:rPr>
            <w:rStyle w:val="Hyperlink"/>
            <w:rFonts w:cs="Courier New"/>
          </w:rPr>
          <w:t>study</w:t>
        </w:r>
      </w:hyperlink>
      <w:r w:rsidR="007519D7">
        <w:rPr>
          <w:rFonts w:cs="Courier New"/>
        </w:rPr>
        <w:t xml:space="preserve"> looked at </w:t>
      </w:r>
      <w:r w:rsidR="00AA16C5">
        <w:rPr>
          <w:rFonts w:cs="Courier New"/>
        </w:rPr>
        <w:t xml:space="preserve">mutual fund performance for </w:t>
      </w:r>
      <w:r w:rsidR="007519D7">
        <w:rPr>
          <w:rFonts w:cs="Courier New"/>
        </w:rPr>
        <w:t xml:space="preserve">the period from 1975 – 2002, </w:t>
      </w:r>
      <w:r w:rsidR="00AA16C5">
        <w:rPr>
          <w:rFonts w:cs="Courier New"/>
        </w:rPr>
        <w:t>before conclud</w:t>
      </w:r>
      <w:r w:rsidR="007519D7">
        <w:rPr>
          <w:rFonts w:cs="Courier New"/>
        </w:rPr>
        <w:t>ing “</w:t>
      </w:r>
      <w:r w:rsidR="007519D7" w:rsidRPr="007519D7">
        <w:rPr>
          <w:rFonts w:cs="Courier New"/>
        </w:rPr>
        <w:t xml:space="preserve">that a sizable minority of managers </w:t>
      </w:r>
      <w:r w:rsidR="007519D7" w:rsidRPr="007519D7">
        <w:rPr>
          <w:rFonts w:cs="Courier New"/>
        </w:rPr>
        <w:lastRenderedPageBreak/>
        <w:t>pick stocks well enough to more than cover their costs. Moreover, the superior alphas of these managers </w:t>
      </w:r>
      <w:r w:rsidR="007519D7" w:rsidRPr="007519D7">
        <w:rPr>
          <w:rFonts w:cs="Courier New"/>
          <w:i/>
          <w:iCs/>
        </w:rPr>
        <w:t>persist</w:t>
      </w:r>
      <w:r w:rsidR="007519D7" w:rsidRPr="007519D7">
        <w:rPr>
          <w:rFonts w:cs="Courier New"/>
        </w:rPr>
        <w:t>.</w:t>
      </w:r>
      <w:r w:rsidR="007519D7">
        <w:rPr>
          <w:rFonts w:cs="Courier New"/>
        </w:rPr>
        <w:t>”</w:t>
      </w:r>
    </w:p>
    <w:p w14:paraId="5A7B4DDB" w14:textId="77777777" w:rsidR="008902F0" w:rsidRDefault="008902F0">
      <w:pPr>
        <w:rPr>
          <w:rFonts w:cs="Courier New"/>
        </w:rPr>
      </w:pPr>
    </w:p>
    <w:p w14:paraId="44C20452" w14:textId="6215806E" w:rsidR="00D02A43" w:rsidRDefault="00D02A43">
      <w:pPr>
        <w:rPr>
          <w:rFonts w:cs="Courier New"/>
        </w:rPr>
      </w:pPr>
      <w:r>
        <w:rPr>
          <w:rFonts w:cs="Courier New"/>
          <w:noProof/>
        </w:rPr>
        <w:drawing>
          <wp:inline distT="0" distB="0" distL="0" distR="0" wp14:anchorId="6DECD593" wp14:editId="78E8655F">
            <wp:extent cx="6847027" cy="1374775"/>
            <wp:effectExtent l="0" t="0" r="0" b="0"/>
            <wp:docPr id="1220972164" name="Picture 1" descr="Person pointing at the stock market graph with virtu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72164" name="Picture 1220972164" descr="Person pointing at the stock market graph with virtual scre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89074" cy="1383217"/>
                    </a:xfrm>
                    <a:prstGeom prst="rect">
                      <a:avLst/>
                    </a:prstGeom>
                  </pic:spPr>
                </pic:pic>
              </a:graphicData>
            </a:graphic>
          </wp:inline>
        </w:drawing>
      </w:r>
    </w:p>
    <w:p w14:paraId="136D4514" w14:textId="77777777" w:rsidR="00D02A43" w:rsidRDefault="00D02A43">
      <w:pPr>
        <w:rPr>
          <w:rFonts w:cs="Courier New"/>
        </w:rPr>
      </w:pPr>
    </w:p>
    <w:p w14:paraId="309CDD57" w14:textId="7D585338" w:rsidR="0075081A" w:rsidRPr="00EB1C02" w:rsidRDefault="007519D7">
      <w:pPr>
        <w:rPr>
          <w:rFonts w:cs="Courier New"/>
        </w:rPr>
      </w:pPr>
      <w:r>
        <w:rPr>
          <w:rFonts w:cs="Courier New"/>
        </w:rPr>
        <w:t xml:space="preserve">More recently, Victor DeMiguel, a professor at London Business School, </w:t>
      </w:r>
      <w:hyperlink r:id="rId13" w:history="1">
        <w:r w:rsidR="00FB6DA3" w:rsidRPr="00FB6DA3">
          <w:rPr>
            <w:rStyle w:val="Hyperlink"/>
            <w:rFonts w:cs="Courier New"/>
          </w:rPr>
          <w:t>previewed new resea</w:t>
        </w:r>
        <w:r w:rsidR="00FB6DA3" w:rsidRPr="00FB6DA3">
          <w:rPr>
            <w:rStyle w:val="Hyperlink"/>
            <w:rFonts w:cs="Courier New"/>
          </w:rPr>
          <w:t>r</w:t>
        </w:r>
        <w:r w:rsidR="00FB6DA3" w:rsidRPr="00FB6DA3">
          <w:rPr>
            <w:rStyle w:val="Hyperlink"/>
            <w:rFonts w:cs="Courier New"/>
          </w:rPr>
          <w:t>ch</w:t>
        </w:r>
      </w:hyperlink>
      <w:r w:rsidR="00FB6DA3">
        <w:rPr>
          <w:rFonts w:cs="Courier New"/>
        </w:rPr>
        <w:t xml:space="preserve"> finding that </w:t>
      </w:r>
      <w:r w:rsidR="00FB6DA3" w:rsidRPr="00FB6DA3">
        <w:rPr>
          <w:rFonts w:cs="Courier New"/>
        </w:rPr>
        <w:t xml:space="preserve"> </w:t>
      </w:r>
      <w:r w:rsidR="00FB6DA3">
        <w:rPr>
          <w:rFonts w:cs="Courier New"/>
        </w:rPr>
        <w:t>“</w:t>
      </w:r>
      <w:r w:rsidR="00837834">
        <w:rPr>
          <w:rFonts w:cs="Courier New"/>
        </w:rPr>
        <w:t>A</w:t>
      </w:r>
      <w:r w:rsidR="00FB6DA3">
        <w:rPr>
          <w:rFonts w:cs="Courier New"/>
        </w:rPr>
        <w:t xml:space="preserve"> </w:t>
      </w:r>
      <w:r w:rsidR="00FB6DA3" w:rsidRPr="00FB6DA3">
        <w:rPr>
          <w:rFonts w:cs="Courier New"/>
        </w:rPr>
        <w:t>small proportion of active mutual funds outperforms the market each year, yielding outsize returns for investors</w:t>
      </w:r>
      <w:r w:rsidR="00FB6DA3">
        <w:rPr>
          <w:rFonts w:cs="Courier New"/>
        </w:rPr>
        <w:t>.”  In other words, t</w:t>
      </w:r>
      <w:r w:rsidR="008C4B66">
        <w:rPr>
          <w:rFonts w:cs="Courier New"/>
        </w:rPr>
        <w:t>he a</w:t>
      </w:r>
      <w:r w:rsidR="0075081A" w:rsidRPr="00EB1C02">
        <w:rPr>
          <w:rFonts w:cs="Courier New"/>
        </w:rPr>
        <w:t xml:space="preserve">verage </w:t>
      </w:r>
      <w:r w:rsidR="00D17023">
        <w:rPr>
          <w:rFonts w:cs="Courier New"/>
        </w:rPr>
        <w:t>manage</w:t>
      </w:r>
      <w:r w:rsidR="0075081A" w:rsidRPr="00EB1C02">
        <w:rPr>
          <w:rFonts w:cs="Courier New"/>
        </w:rPr>
        <w:t xml:space="preserve">r may not beat </w:t>
      </w:r>
      <w:r w:rsidR="008C4B66">
        <w:rPr>
          <w:rFonts w:cs="Courier New"/>
        </w:rPr>
        <w:t xml:space="preserve">average </w:t>
      </w:r>
      <w:r w:rsidR="0075081A" w:rsidRPr="00EB1C02">
        <w:rPr>
          <w:rFonts w:cs="Courier New"/>
        </w:rPr>
        <w:t>market</w:t>
      </w:r>
      <w:r w:rsidR="008C4B66">
        <w:rPr>
          <w:rFonts w:cs="Courier New"/>
        </w:rPr>
        <w:t xml:space="preserve"> returns</w:t>
      </w:r>
      <w:r w:rsidR="0075081A" w:rsidRPr="00EB1C02">
        <w:rPr>
          <w:rFonts w:cs="Courier New"/>
        </w:rPr>
        <w:t xml:space="preserve">, but </w:t>
      </w:r>
      <w:r w:rsidR="00D17023">
        <w:rPr>
          <w:rFonts w:cs="Courier New"/>
        </w:rPr>
        <w:t>some</w:t>
      </w:r>
      <w:r w:rsidR="00D35CD8">
        <w:rPr>
          <w:rFonts w:cs="Courier New"/>
        </w:rPr>
        <w:t xml:space="preserve"> </w:t>
      </w:r>
      <w:r w:rsidR="00D17023">
        <w:rPr>
          <w:rFonts w:cs="Courier New"/>
        </w:rPr>
        <w:t>manager</w:t>
      </w:r>
      <w:r w:rsidR="00D35CD8">
        <w:rPr>
          <w:rFonts w:cs="Courier New"/>
        </w:rPr>
        <w:t>s</w:t>
      </w:r>
      <w:r w:rsidR="0075081A" w:rsidRPr="00EB1C02">
        <w:rPr>
          <w:rFonts w:cs="Courier New"/>
        </w:rPr>
        <w:t xml:space="preserve"> do. The question is </w:t>
      </w:r>
      <w:r w:rsidR="00FB6DA3">
        <w:rPr>
          <w:rFonts w:cs="Courier New"/>
        </w:rPr>
        <w:t>h</w:t>
      </w:r>
      <w:r w:rsidR="0075081A" w:rsidRPr="00EB1C02">
        <w:rPr>
          <w:rFonts w:cs="Courier New"/>
        </w:rPr>
        <w:t>ow</w:t>
      </w:r>
      <w:r w:rsidR="00FB6DA3">
        <w:rPr>
          <w:rFonts w:cs="Courier New"/>
        </w:rPr>
        <w:t>.</w:t>
      </w:r>
    </w:p>
    <w:p w14:paraId="522F3EB3" w14:textId="27BADE61" w:rsidR="00FA7641" w:rsidRDefault="00837834">
      <w:pPr>
        <w:rPr>
          <w:rFonts w:cs="Courier New"/>
        </w:rPr>
      </w:pPr>
      <w:r>
        <w:rPr>
          <w:rFonts w:cs="Courier New"/>
        </w:rPr>
        <w:t>I</w:t>
      </w:r>
      <w:r w:rsidR="00D17023">
        <w:rPr>
          <w:rFonts w:cs="Courier New"/>
        </w:rPr>
        <w:t>n the long run, t</w:t>
      </w:r>
      <w:r w:rsidR="00FB6DA3">
        <w:rPr>
          <w:rFonts w:cs="Courier New"/>
        </w:rPr>
        <w:t xml:space="preserve">he </w:t>
      </w:r>
      <w:r w:rsidR="00D35CD8">
        <w:rPr>
          <w:rFonts w:cs="Courier New"/>
        </w:rPr>
        <w:t xml:space="preserve">simple </w:t>
      </w:r>
      <w:r w:rsidR="00FB6DA3">
        <w:rPr>
          <w:rFonts w:cs="Courier New"/>
        </w:rPr>
        <w:t xml:space="preserve">answer is </w:t>
      </w:r>
      <w:r w:rsidR="00D35CD8">
        <w:rPr>
          <w:rFonts w:cs="Courier New"/>
        </w:rPr>
        <w:t xml:space="preserve">that </w:t>
      </w:r>
      <w:r w:rsidR="00FB6DA3">
        <w:rPr>
          <w:rFonts w:cs="Courier New"/>
        </w:rPr>
        <w:t>y</w:t>
      </w:r>
      <w:r w:rsidR="007F5CA5" w:rsidRPr="00EB1C02">
        <w:rPr>
          <w:rFonts w:cs="Courier New"/>
        </w:rPr>
        <w:t>ou n</w:t>
      </w:r>
      <w:r w:rsidR="00FA7641" w:rsidRPr="00EB1C02">
        <w:rPr>
          <w:rFonts w:cs="Courier New"/>
        </w:rPr>
        <w:t xml:space="preserve">eed to find factor traits </w:t>
      </w:r>
      <w:r w:rsidR="00744D00" w:rsidRPr="00EB1C02">
        <w:rPr>
          <w:rFonts w:cs="Courier New"/>
        </w:rPr>
        <w:t xml:space="preserve">that are consistently </w:t>
      </w:r>
      <w:r w:rsidR="00FA7641" w:rsidRPr="00EB1C02">
        <w:rPr>
          <w:rFonts w:cs="Courier New"/>
        </w:rPr>
        <w:t>mispriced by the market</w:t>
      </w:r>
      <w:r w:rsidR="00744D00" w:rsidRPr="00EB1C02">
        <w:rPr>
          <w:rFonts w:cs="Courier New"/>
        </w:rPr>
        <w:t xml:space="preserve">, </w:t>
      </w:r>
      <w:r w:rsidR="00FB6DA3">
        <w:rPr>
          <w:rFonts w:cs="Courier New"/>
        </w:rPr>
        <w:t>then</w:t>
      </w:r>
      <w:r w:rsidR="00744D00" w:rsidRPr="00EB1C02">
        <w:rPr>
          <w:rFonts w:cs="Courier New"/>
        </w:rPr>
        <w:t xml:space="preserve"> populate a portfolio with that factor.</w:t>
      </w:r>
    </w:p>
    <w:p w14:paraId="41F3330A" w14:textId="50B0369F" w:rsidR="00D25160" w:rsidRDefault="00FB6DA3">
      <w:pPr>
        <w:rPr>
          <w:rFonts w:cs="Courier New"/>
        </w:rPr>
      </w:pPr>
      <w:r>
        <w:rPr>
          <w:rFonts w:cs="Courier New"/>
        </w:rPr>
        <w:t>At Smith Group, the mispriced factor we design ou</w:t>
      </w:r>
      <w:r w:rsidR="004D09D2">
        <w:rPr>
          <w:rFonts w:cs="Courier New"/>
        </w:rPr>
        <w:t>r</w:t>
      </w:r>
      <w:r>
        <w:rPr>
          <w:rFonts w:cs="Courier New"/>
        </w:rPr>
        <w:t xml:space="preserve"> portfolios around is </w:t>
      </w:r>
      <w:r w:rsidR="00AA16C5">
        <w:rPr>
          <w:rFonts w:cs="Courier New"/>
        </w:rPr>
        <w:t xml:space="preserve">faster than expected </w:t>
      </w:r>
      <w:r>
        <w:rPr>
          <w:rFonts w:cs="Courier New"/>
        </w:rPr>
        <w:t xml:space="preserve">earnings </w:t>
      </w:r>
      <w:r w:rsidR="00AA16C5">
        <w:rPr>
          <w:rFonts w:cs="Courier New"/>
        </w:rPr>
        <w:t xml:space="preserve">growth. </w:t>
      </w:r>
      <w:r w:rsidR="004D09D2">
        <w:rPr>
          <w:rFonts w:cs="Courier New"/>
        </w:rPr>
        <w:t xml:space="preserve">This pricing anomaly, </w:t>
      </w:r>
      <w:r w:rsidR="00D25160">
        <w:rPr>
          <w:rFonts w:cs="Courier New"/>
        </w:rPr>
        <w:t xml:space="preserve">also </w:t>
      </w:r>
      <w:r w:rsidR="004D09D2">
        <w:rPr>
          <w:rFonts w:cs="Courier New"/>
        </w:rPr>
        <w:t>known as post</w:t>
      </w:r>
      <w:r w:rsidR="00365E23">
        <w:rPr>
          <w:rFonts w:cs="Courier New"/>
        </w:rPr>
        <w:t>-</w:t>
      </w:r>
      <w:r w:rsidR="004D09D2">
        <w:rPr>
          <w:rFonts w:cs="Courier New"/>
        </w:rPr>
        <w:t>earnings</w:t>
      </w:r>
      <w:r w:rsidR="00837834">
        <w:rPr>
          <w:rFonts w:cs="Courier New"/>
        </w:rPr>
        <w:t>-</w:t>
      </w:r>
      <w:r w:rsidR="004D09D2">
        <w:rPr>
          <w:rFonts w:cs="Courier New"/>
        </w:rPr>
        <w:t>announcement drift</w:t>
      </w:r>
      <w:r w:rsidR="00D25160">
        <w:rPr>
          <w:rFonts w:cs="Courier New"/>
        </w:rPr>
        <w:t xml:space="preserve"> or earnings surprise phenomenon</w:t>
      </w:r>
      <w:r w:rsidR="004D09D2">
        <w:rPr>
          <w:rFonts w:cs="Courier New"/>
        </w:rPr>
        <w:t xml:space="preserve">, has been chronicled </w:t>
      </w:r>
      <w:r w:rsidR="00365E23">
        <w:rPr>
          <w:rFonts w:cs="Courier New"/>
        </w:rPr>
        <w:t xml:space="preserve">for decades. </w:t>
      </w:r>
      <w:r w:rsidR="00D25160">
        <w:rPr>
          <w:rFonts w:cs="Courier New"/>
        </w:rPr>
        <w:t>When an earnings report exceeds</w:t>
      </w:r>
      <w:r w:rsidR="00837834">
        <w:rPr>
          <w:rFonts w:cs="Courier New"/>
        </w:rPr>
        <w:t xml:space="preserve"> </w:t>
      </w:r>
      <w:r w:rsidR="00D25160">
        <w:rPr>
          <w:rFonts w:cs="Courier New"/>
        </w:rPr>
        <w:t xml:space="preserve">expectations, its stock price quickly incorporates </w:t>
      </w:r>
      <w:r w:rsidR="00D17023">
        <w:rPr>
          <w:rFonts w:cs="Courier New"/>
        </w:rPr>
        <w:t>some</w:t>
      </w:r>
      <w:r w:rsidR="00D25160">
        <w:rPr>
          <w:rFonts w:cs="Courier New"/>
        </w:rPr>
        <w:t xml:space="preserve">, but not all, of that new information into the </w:t>
      </w:r>
      <w:r w:rsidR="00837834">
        <w:rPr>
          <w:rFonts w:cs="Courier New"/>
        </w:rPr>
        <w:t>market</w:t>
      </w:r>
      <w:r w:rsidR="00D25160">
        <w:rPr>
          <w:rFonts w:cs="Courier New"/>
        </w:rPr>
        <w:t xml:space="preserve"> price. The remainder is incorporated in the weeks and even months that follow, as the price </w:t>
      </w:r>
      <w:r w:rsidR="00837834">
        <w:rPr>
          <w:rFonts w:cs="Courier New"/>
        </w:rPr>
        <w:t xml:space="preserve">trend </w:t>
      </w:r>
      <w:r w:rsidR="00D17023">
        <w:rPr>
          <w:rFonts w:cs="Courier New"/>
        </w:rPr>
        <w:t xml:space="preserve">exhibits a positive </w:t>
      </w:r>
      <w:r w:rsidR="00837834">
        <w:rPr>
          <w:rFonts w:cs="Courier New"/>
        </w:rPr>
        <w:t>bias</w:t>
      </w:r>
      <w:r w:rsidR="00D25160">
        <w:rPr>
          <w:rFonts w:cs="Courier New"/>
        </w:rPr>
        <w:t xml:space="preserve">. </w:t>
      </w:r>
    </w:p>
    <w:p w14:paraId="6EDDCD38" w14:textId="504E30CE" w:rsidR="00D25160" w:rsidRDefault="00365E23">
      <w:pPr>
        <w:rPr>
          <w:rFonts w:cs="Courier New"/>
        </w:rPr>
      </w:pPr>
      <w:r>
        <w:rPr>
          <w:rFonts w:cs="Courier New"/>
        </w:rPr>
        <w:t xml:space="preserve">Smith Group’s founder Stephen S. Smith collaborated in early research investigating this anomaly at the University of North Carolina at Chapel Hill in the late 1970s. He successfully applied the approach at Wachovia Bank and </w:t>
      </w:r>
      <w:r w:rsidR="00D17023">
        <w:rPr>
          <w:rFonts w:cs="Courier New"/>
        </w:rPr>
        <w:t xml:space="preserve">at </w:t>
      </w:r>
      <w:r>
        <w:rPr>
          <w:rFonts w:cs="Courier New"/>
        </w:rPr>
        <w:t xml:space="preserve">what is now Bank of America. Initially, </w:t>
      </w:r>
      <w:r w:rsidR="00D25160">
        <w:rPr>
          <w:rFonts w:cs="Courier New"/>
        </w:rPr>
        <w:t>the strategy involved investing in firms which had just experienced positive earnings surprise. But it evolved into an approach which invests in firms with a high</w:t>
      </w:r>
      <w:r w:rsidR="00D17023">
        <w:rPr>
          <w:rFonts w:cs="Courier New"/>
        </w:rPr>
        <w:t>er</w:t>
      </w:r>
      <w:r w:rsidR="00D25160">
        <w:rPr>
          <w:rFonts w:cs="Courier New"/>
        </w:rPr>
        <w:t xml:space="preserve"> likelihood of upcoming earnings surprise.</w:t>
      </w:r>
    </w:p>
    <w:p w14:paraId="052D2FBF" w14:textId="46E6186D" w:rsidR="001B44B8" w:rsidRDefault="00D25160">
      <w:pPr>
        <w:rPr>
          <w:rFonts w:cs="Courier New"/>
        </w:rPr>
      </w:pPr>
      <w:r>
        <w:rPr>
          <w:rFonts w:cs="Courier New"/>
        </w:rPr>
        <w:t>In 199</w:t>
      </w:r>
      <w:r w:rsidR="00837834">
        <w:rPr>
          <w:rFonts w:cs="Courier New"/>
        </w:rPr>
        <w:t>5</w:t>
      </w:r>
      <w:r>
        <w:rPr>
          <w:rFonts w:cs="Courier New"/>
        </w:rPr>
        <w:t>, Smith founded Smith Group Asset Management to continue trading on the strategy</w:t>
      </w:r>
      <w:r w:rsidR="009B41B0">
        <w:rPr>
          <w:rFonts w:cs="Courier New"/>
        </w:rPr>
        <w:t xml:space="preserve"> while</w:t>
      </w:r>
      <w:r w:rsidR="001F3FCB">
        <w:rPr>
          <w:rFonts w:cs="Courier New"/>
        </w:rPr>
        <w:t xml:space="preserve"> incorporating qualitative analysis to better understand the </w:t>
      </w:r>
      <w:r w:rsidR="00D35CD8">
        <w:rPr>
          <w:rFonts w:cs="Courier New"/>
        </w:rPr>
        <w:t xml:space="preserve">fundamental </w:t>
      </w:r>
      <w:r w:rsidR="001F3FCB">
        <w:rPr>
          <w:rFonts w:cs="Courier New"/>
        </w:rPr>
        <w:t>source</w:t>
      </w:r>
      <w:r w:rsidR="009B41B0">
        <w:rPr>
          <w:rFonts w:cs="Courier New"/>
        </w:rPr>
        <w:t>s</w:t>
      </w:r>
      <w:r w:rsidR="001F3FCB">
        <w:rPr>
          <w:rFonts w:cs="Courier New"/>
        </w:rPr>
        <w:t xml:space="preserve"> of </w:t>
      </w:r>
      <w:proofErr w:type="gramStart"/>
      <w:r w:rsidR="001F3FCB">
        <w:rPr>
          <w:rFonts w:cs="Courier New"/>
        </w:rPr>
        <w:t>earnings surprise</w:t>
      </w:r>
      <w:proofErr w:type="gramEnd"/>
      <w:r w:rsidR="00490A23">
        <w:rPr>
          <w:rFonts w:cs="Courier New"/>
        </w:rPr>
        <w:t>, and a sell discipline</w:t>
      </w:r>
      <w:r w:rsidR="00D17023">
        <w:rPr>
          <w:rFonts w:cs="Courier New"/>
        </w:rPr>
        <w:t xml:space="preserve"> </w:t>
      </w:r>
      <w:r w:rsidR="00490A23">
        <w:rPr>
          <w:rFonts w:cs="Courier New"/>
        </w:rPr>
        <w:t xml:space="preserve">that </w:t>
      </w:r>
      <w:r w:rsidR="00D17023">
        <w:rPr>
          <w:rFonts w:cs="Courier New"/>
        </w:rPr>
        <w:t>rises</w:t>
      </w:r>
      <w:r w:rsidR="009B41B0">
        <w:rPr>
          <w:rFonts w:cs="Courier New"/>
        </w:rPr>
        <w:t xml:space="preserve"> as the likelihood of future surprises </w:t>
      </w:r>
      <w:r w:rsidR="00D17023">
        <w:rPr>
          <w:rFonts w:cs="Courier New"/>
        </w:rPr>
        <w:t>fall</w:t>
      </w:r>
      <w:r w:rsidR="002E7BE5">
        <w:rPr>
          <w:rFonts w:cs="Courier New"/>
        </w:rPr>
        <w:t>.</w:t>
      </w:r>
      <w:r w:rsidR="00D17023">
        <w:rPr>
          <w:rFonts w:cs="Courier New"/>
        </w:rPr>
        <w:t xml:space="preserve"> </w:t>
      </w:r>
      <w:r w:rsidR="002E7BE5">
        <w:rPr>
          <w:rFonts w:cs="Courier New"/>
        </w:rPr>
        <w:t>Figure 1 below shows the process</w:t>
      </w:r>
      <w:r w:rsidR="00D35CD8">
        <w:rPr>
          <w:rFonts w:cs="Courier New"/>
        </w:rPr>
        <w:t xml:space="preserve"> by</w:t>
      </w:r>
      <w:r w:rsidR="002E7BE5">
        <w:rPr>
          <w:rFonts w:cs="Courier New"/>
        </w:rPr>
        <w:t xml:space="preserve"> which </w:t>
      </w:r>
      <w:r w:rsidR="00D35CD8">
        <w:rPr>
          <w:rFonts w:cs="Courier New"/>
        </w:rPr>
        <w:t xml:space="preserve">we </w:t>
      </w:r>
      <w:r w:rsidR="002E7BE5">
        <w:rPr>
          <w:rFonts w:cs="Courier New"/>
        </w:rPr>
        <w:t xml:space="preserve">narrow a universe of 1,000 </w:t>
      </w:r>
      <w:r w:rsidR="00D35CD8">
        <w:rPr>
          <w:rFonts w:cs="Courier New"/>
        </w:rPr>
        <w:t xml:space="preserve">candidate </w:t>
      </w:r>
      <w:r w:rsidR="002E7BE5">
        <w:rPr>
          <w:rFonts w:cs="Courier New"/>
        </w:rPr>
        <w:t>stocks to 35 – 45 companies in the portfolio</w:t>
      </w:r>
      <w:r w:rsidR="00D35CD8">
        <w:rPr>
          <w:rFonts w:cs="Courier New"/>
        </w:rPr>
        <w:t xml:space="preserve"> at any one time</w:t>
      </w:r>
      <w:r w:rsidR="002E7BE5">
        <w:rPr>
          <w:rFonts w:cs="Courier New"/>
        </w:rPr>
        <w:t>.</w:t>
      </w:r>
    </w:p>
    <w:p w14:paraId="186CECFB" w14:textId="15846477" w:rsidR="002E7BE5" w:rsidRPr="003305F0" w:rsidRDefault="002E7BE5" w:rsidP="00D17023">
      <w:pPr>
        <w:jc w:val="center"/>
        <w:rPr>
          <w:rFonts w:cs="Courier New"/>
          <w:b/>
          <w:bCs/>
          <w:sz w:val="22"/>
          <w:szCs w:val="22"/>
        </w:rPr>
      </w:pPr>
      <w:r w:rsidRPr="003305F0">
        <w:rPr>
          <w:rFonts w:cs="Courier New"/>
          <w:b/>
          <w:bCs/>
          <w:sz w:val="22"/>
          <w:szCs w:val="22"/>
        </w:rPr>
        <w:lastRenderedPageBreak/>
        <w:t xml:space="preserve">Figure 1. </w:t>
      </w:r>
      <w:r w:rsidR="001B78B7" w:rsidRPr="003305F0">
        <w:rPr>
          <w:rFonts w:cs="Courier New"/>
          <w:b/>
          <w:bCs/>
          <w:sz w:val="22"/>
          <w:szCs w:val="22"/>
        </w:rPr>
        <w:t>The Smith Group Process</w:t>
      </w:r>
    </w:p>
    <w:p w14:paraId="342EF284" w14:textId="40EF9DBF" w:rsidR="001B78B7" w:rsidRDefault="002E7BE5" w:rsidP="00D17023">
      <w:pPr>
        <w:jc w:val="center"/>
        <w:rPr>
          <w:rFonts w:cs="Courier New"/>
        </w:rPr>
      </w:pPr>
      <w:r w:rsidRPr="002E7BE5">
        <w:rPr>
          <w:noProof/>
        </w:rPr>
        <w:drawing>
          <wp:inline distT="0" distB="0" distL="0" distR="0" wp14:anchorId="72763328" wp14:editId="22EB88E6">
            <wp:extent cx="4495800" cy="2528887"/>
            <wp:effectExtent l="0" t="0" r="0" b="5080"/>
            <wp:docPr id="668379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79996" name=""/>
                    <pic:cNvPicPr/>
                  </pic:nvPicPr>
                  <pic:blipFill>
                    <a:blip r:embed="rId14"/>
                    <a:stretch>
                      <a:fillRect/>
                    </a:stretch>
                  </pic:blipFill>
                  <pic:spPr>
                    <a:xfrm>
                      <a:off x="0" y="0"/>
                      <a:ext cx="4528759" cy="2547426"/>
                    </a:xfrm>
                    <a:prstGeom prst="rect">
                      <a:avLst/>
                    </a:prstGeom>
                  </pic:spPr>
                </pic:pic>
              </a:graphicData>
            </a:graphic>
          </wp:inline>
        </w:drawing>
      </w:r>
    </w:p>
    <w:p w14:paraId="25C90C86" w14:textId="77777777" w:rsidR="001B78B7" w:rsidRPr="001B78B7" w:rsidRDefault="001B78B7">
      <w:pPr>
        <w:rPr>
          <w:rFonts w:cs="Courier New"/>
        </w:rPr>
      </w:pPr>
    </w:p>
    <w:p w14:paraId="7E8AD4F2" w14:textId="032B6E31" w:rsidR="00124D86" w:rsidRPr="00124D86" w:rsidRDefault="00124D86">
      <w:pPr>
        <w:rPr>
          <w:rFonts w:cs="Courier New"/>
          <w:b/>
          <w:bCs/>
        </w:rPr>
      </w:pPr>
      <w:r w:rsidRPr="00124D86">
        <w:rPr>
          <w:rFonts w:cs="Courier New"/>
          <w:b/>
          <w:bCs/>
        </w:rPr>
        <w:t>Long Term Results</w:t>
      </w:r>
      <w:r>
        <w:rPr>
          <w:rFonts w:cs="Courier New"/>
          <w:b/>
          <w:bCs/>
        </w:rPr>
        <w:t>: A Non-Random Walk to Superior Returns</w:t>
      </w:r>
    </w:p>
    <w:p w14:paraId="07A79E21" w14:textId="2B784FF2" w:rsidR="005A539A" w:rsidRDefault="00D35CD8">
      <w:pPr>
        <w:rPr>
          <w:rFonts w:cs="Courier New"/>
        </w:rPr>
      </w:pPr>
      <w:r>
        <w:rPr>
          <w:rFonts w:cs="Courier New"/>
        </w:rPr>
        <w:t>One</w:t>
      </w:r>
      <w:r w:rsidR="005A539A">
        <w:rPr>
          <w:rFonts w:cs="Courier New"/>
        </w:rPr>
        <w:t xml:space="preserve"> million dollar</w:t>
      </w:r>
      <w:r>
        <w:rPr>
          <w:rFonts w:cs="Courier New"/>
        </w:rPr>
        <w:t>s</w:t>
      </w:r>
      <w:r w:rsidR="005A539A">
        <w:rPr>
          <w:rFonts w:cs="Courier New"/>
        </w:rPr>
        <w:t xml:space="preserve"> invested in Smith Group’s Large</w:t>
      </w:r>
      <w:r w:rsidR="00706948">
        <w:rPr>
          <w:rFonts w:cs="Courier New"/>
        </w:rPr>
        <w:t xml:space="preserve"> </w:t>
      </w:r>
      <w:r w:rsidR="005A539A">
        <w:rPr>
          <w:rFonts w:cs="Courier New"/>
        </w:rPr>
        <w:t xml:space="preserve">Cap Focused Equity portfolio at its founding would </w:t>
      </w:r>
      <w:r>
        <w:rPr>
          <w:rFonts w:cs="Courier New"/>
        </w:rPr>
        <w:t>today be</w:t>
      </w:r>
      <w:r w:rsidR="005A539A">
        <w:rPr>
          <w:rFonts w:cs="Courier New"/>
        </w:rPr>
        <w:t xml:space="preserve"> $28.9 million</w:t>
      </w:r>
      <w:r>
        <w:rPr>
          <w:rFonts w:cs="Courier New"/>
        </w:rPr>
        <w:t xml:space="preserve"> (see Figure 2 below),</w:t>
      </w:r>
      <w:r w:rsidR="005A539A">
        <w:rPr>
          <w:rFonts w:cs="Courier New"/>
        </w:rPr>
        <w:t xml:space="preserve"> net of fees. That same $1 million invested passively in </w:t>
      </w:r>
      <w:proofErr w:type="gramStart"/>
      <w:r w:rsidR="005A539A">
        <w:rPr>
          <w:rFonts w:cs="Courier New"/>
        </w:rPr>
        <w:t>the S</w:t>
      </w:r>
      <w:proofErr w:type="gramEnd"/>
      <w:r w:rsidR="005A539A">
        <w:rPr>
          <w:rFonts w:cs="Courier New"/>
        </w:rPr>
        <w:t>&amp;P 500</w:t>
      </w:r>
      <w:r w:rsidR="002E7BE5">
        <w:rPr>
          <w:rFonts w:cs="Courier New"/>
        </w:rPr>
        <w:t>, our primary benchmark,</w:t>
      </w:r>
      <w:r w:rsidR="005A539A">
        <w:rPr>
          <w:rFonts w:cs="Courier New"/>
        </w:rPr>
        <w:t xml:space="preserve"> would have </w:t>
      </w:r>
      <w:r>
        <w:rPr>
          <w:rFonts w:cs="Courier New"/>
        </w:rPr>
        <w:t>become</w:t>
      </w:r>
      <w:r w:rsidR="005A539A">
        <w:rPr>
          <w:rFonts w:cs="Courier New"/>
        </w:rPr>
        <w:t xml:space="preserve"> $19.2 million.</w:t>
      </w:r>
    </w:p>
    <w:p w14:paraId="7D779329" w14:textId="77777777" w:rsidR="001B78B7" w:rsidRDefault="001B78B7">
      <w:pPr>
        <w:rPr>
          <w:rFonts w:cs="Courier New"/>
        </w:rPr>
      </w:pPr>
    </w:p>
    <w:p w14:paraId="795209E4" w14:textId="14419CA7" w:rsidR="003F2F67" w:rsidRPr="003305F0" w:rsidRDefault="003F2F67" w:rsidP="002833DC">
      <w:pPr>
        <w:jc w:val="center"/>
        <w:rPr>
          <w:rFonts w:cs="Courier New"/>
          <w:b/>
          <w:bCs/>
          <w:sz w:val="22"/>
          <w:szCs w:val="22"/>
        </w:rPr>
      </w:pPr>
      <w:r w:rsidRPr="003305F0">
        <w:rPr>
          <w:rFonts w:cs="Courier New"/>
          <w:b/>
          <w:bCs/>
          <w:sz w:val="22"/>
          <w:szCs w:val="22"/>
        </w:rPr>
        <w:t xml:space="preserve">Figure </w:t>
      </w:r>
      <w:r w:rsidR="002E7BE5" w:rsidRPr="003305F0">
        <w:rPr>
          <w:rFonts w:cs="Courier New"/>
          <w:b/>
          <w:bCs/>
          <w:sz w:val="22"/>
          <w:szCs w:val="22"/>
        </w:rPr>
        <w:t>2</w:t>
      </w:r>
      <w:r w:rsidRPr="003305F0">
        <w:rPr>
          <w:rFonts w:cs="Courier New"/>
          <w:b/>
          <w:bCs/>
          <w:sz w:val="22"/>
          <w:szCs w:val="22"/>
        </w:rPr>
        <w:t>. Smith Group’s Thirty Years of Beating the S&amp;P 500</w:t>
      </w:r>
    </w:p>
    <w:p w14:paraId="21E4151A" w14:textId="77777777" w:rsidR="005A539A" w:rsidRDefault="008B1178" w:rsidP="002833DC">
      <w:pPr>
        <w:jc w:val="center"/>
        <w:rPr>
          <w:rFonts w:cs="Courier New"/>
        </w:rPr>
      </w:pPr>
      <w:r>
        <w:rPr>
          <w:noProof/>
        </w:rPr>
        <w:drawing>
          <wp:inline distT="0" distB="0" distL="0" distR="0" wp14:anchorId="0ADA1D42" wp14:editId="274A1A13">
            <wp:extent cx="5000980" cy="2813050"/>
            <wp:effectExtent l="0" t="0" r="9525" b="6350"/>
            <wp:docPr id="1435338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38795" name=""/>
                    <pic:cNvPicPr/>
                  </pic:nvPicPr>
                  <pic:blipFill>
                    <a:blip r:embed="rId15"/>
                    <a:stretch>
                      <a:fillRect/>
                    </a:stretch>
                  </pic:blipFill>
                  <pic:spPr>
                    <a:xfrm>
                      <a:off x="0" y="0"/>
                      <a:ext cx="5058482" cy="2845395"/>
                    </a:xfrm>
                    <a:prstGeom prst="rect">
                      <a:avLst/>
                    </a:prstGeom>
                  </pic:spPr>
                </pic:pic>
              </a:graphicData>
            </a:graphic>
          </wp:inline>
        </w:drawing>
      </w:r>
    </w:p>
    <w:p w14:paraId="150760AB" w14:textId="77777777" w:rsidR="001B78B7" w:rsidRDefault="001B78B7" w:rsidP="0006639A">
      <w:pPr>
        <w:rPr>
          <w:rFonts w:cs="Courier New"/>
        </w:rPr>
      </w:pPr>
    </w:p>
    <w:p w14:paraId="6C0339BA" w14:textId="112DE037" w:rsidR="00F314C4" w:rsidRDefault="002833DC" w:rsidP="0006639A">
      <w:pPr>
        <w:rPr>
          <w:rFonts w:cs="Courier New"/>
        </w:rPr>
      </w:pPr>
      <w:r>
        <w:rPr>
          <w:rFonts w:cs="Courier New"/>
        </w:rPr>
        <w:t xml:space="preserve">This performance </w:t>
      </w:r>
      <w:r w:rsidR="00D02A43">
        <w:rPr>
          <w:rFonts w:cs="Courier New"/>
        </w:rPr>
        <w:t xml:space="preserve">gap is not </w:t>
      </w:r>
      <w:r>
        <w:rPr>
          <w:rFonts w:cs="Courier New"/>
        </w:rPr>
        <w:t>from a</w:t>
      </w:r>
      <w:r w:rsidR="0006639A">
        <w:rPr>
          <w:rFonts w:cs="Courier New"/>
        </w:rPr>
        <w:t xml:space="preserve"> </w:t>
      </w:r>
      <w:r w:rsidR="00F314C4">
        <w:rPr>
          <w:rFonts w:cs="Courier New"/>
        </w:rPr>
        <w:t>higher beta</w:t>
      </w:r>
      <w:r w:rsidR="0006639A">
        <w:rPr>
          <w:rFonts w:cs="Courier New"/>
        </w:rPr>
        <w:t xml:space="preserve">. We mitigate portfolio risk </w:t>
      </w:r>
      <w:r>
        <w:rPr>
          <w:rFonts w:cs="Courier New"/>
        </w:rPr>
        <w:t>in six ways</w:t>
      </w:r>
      <w:r w:rsidR="00F314C4">
        <w:rPr>
          <w:rFonts w:cs="Courier New"/>
        </w:rPr>
        <w:t>:</w:t>
      </w:r>
    </w:p>
    <w:p w14:paraId="3C9E3103" w14:textId="370CA1B1" w:rsidR="00F314C4" w:rsidRPr="005252B0" w:rsidRDefault="00F314C4" w:rsidP="005252B0">
      <w:pPr>
        <w:pStyle w:val="ListParagraph"/>
        <w:numPr>
          <w:ilvl w:val="0"/>
          <w:numId w:val="1"/>
        </w:numPr>
        <w:rPr>
          <w:rFonts w:cs="Courier New"/>
        </w:rPr>
      </w:pPr>
      <w:r w:rsidRPr="005252B0">
        <w:rPr>
          <w:rFonts w:cs="Courier New"/>
        </w:rPr>
        <w:t xml:space="preserve">Companies must have at least five active analysts posting earnings per share </w:t>
      </w:r>
      <w:r w:rsidR="00706948">
        <w:rPr>
          <w:rFonts w:cs="Courier New"/>
        </w:rPr>
        <w:t xml:space="preserve">(EPS) </w:t>
      </w:r>
      <w:r w:rsidRPr="005252B0">
        <w:rPr>
          <w:rFonts w:cs="Courier New"/>
        </w:rPr>
        <w:t>estimates.</w:t>
      </w:r>
    </w:p>
    <w:p w14:paraId="56BA9325" w14:textId="783859A7" w:rsidR="00F314C4" w:rsidRPr="005252B0" w:rsidRDefault="00F314C4" w:rsidP="005252B0">
      <w:pPr>
        <w:pStyle w:val="ListParagraph"/>
        <w:numPr>
          <w:ilvl w:val="0"/>
          <w:numId w:val="1"/>
        </w:numPr>
        <w:rPr>
          <w:rFonts w:cs="Courier New"/>
        </w:rPr>
      </w:pPr>
      <w:r w:rsidRPr="005252B0">
        <w:rPr>
          <w:rFonts w:cs="Courier New"/>
        </w:rPr>
        <w:t xml:space="preserve">Companies must have positive earnings and cannot have the most recent quarterly </w:t>
      </w:r>
      <w:r w:rsidR="00706948">
        <w:rPr>
          <w:rFonts w:cs="Courier New"/>
        </w:rPr>
        <w:t>EPS</w:t>
      </w:r>
      <w:r w:rsidRPr="005252B0">
        <w:rPr>
          <w:rFonts w:cs="Courier New"/>
        </w:rPr>
        <w:t xml:space="preserve"> surprise be negative.</w:t>
      </w:r>
    </w:p>
    <w:p w14:paraId="68A6ABEA" w14:textId="0890ADD4" w:rsidR="00F314C4" w:rsidRPr="005252B0" w:rsidRDefault="00F314C4" w:rsidP="005252B0">
      <w:pPr>
        <w:pStyle w:val="ListParagraph"/>
        <w:numPr>
          <w:ilvl w:val="0"/>
          <w:numId w:val="1"/>
        </w:numPr>
        <w:rPr>
          <w:rFonts w:cs="Courier New"/>
        </w:rPr>
      </w:pPr>
      <w:r w:rsidRPr="005252B0">
        <w:rPr>
          <w:rFonts w:cs="Courier New"/>
        </w:rPr>
        <w:t xml:space="preserve">All companies enter the portfolio at a weighting of </w:t>
      </w:r>
      <w:r w:rsidR="00706948">
        <w:rPr>
          <w:rFonts w:cs="Courier New"/>
        </w:rPr>
        <w:t xml:space="preserve">approximately </w:t>
      </w:r>
      <w:r w:rsidRPr="005252B0">
        <w:rPr>
          <w:rFonts w:cs="Courier New"/>
        </w:rPr>
        <w:t xml:space="preserve">2.5% and are trimmed </w:t>
      </w:r>
      <w:r w:rsidR="00706948">
        <w:rPr>
          <w:rFonts w:cs="Courier New"/>
        </w:rPr>
        <w:t>if</w:t>
      </w:r>
      <w:r w:rsidRPr="005252B0">
        <w:rPr>
          <w:rFonts w:cs="Courier New"/>
        </w:rPr>
        <w:t xml:space="preserve"> the weight increases to 4% (this is a meaningful difference from our benchmark).</w:t>
      </w:r>
    </w:p>
    <w:p w14:paraId="2147F915" w14:textId="2AAFFBAC" w:rsidR="00F314C4" w:rsidRPr="005252B0" w:rsidRDefault="002833DC" w:rsidP="005252B0">
      <w:pPr>
        <w:pStyle w:val="ListParagraph"/>
        <w:numPr>
          <w:ilvl w:val="0"/>
          <w:numId w:val="1"/>
        </w:numPr>
        <w:rPr>
          <w:rFonts w:cs="Courier New"/>
        </w:rPr>
      </w:pPr>
      <w:r>
        <w:rPr>
          <w:rFonts w:cs="Courier New"/>
        </w:rPr>
        <w:t>S</w:t>
      </w:r>
      <w:r w:rsidR="00F314C4" w:rsidRPr="005252B0">
        <w:rPr>
          <w:rFonts w:cs="Courier New"/>
        </w:rPr>
        <w:t xml:space="preserve">ector weights </w:t>
      </w:r>
      <w:r>
        <w:rPr>
          <w:rFonts w:cs="Courier New"/>
        </w:rPr>
        <w:t xml:space="preserve">in our portfolio </w:t>
      </w:r>
      <w:r w:rsidR="00F314C4" w:rsidRPr="005252B0">
        <w:rPr>
          <w:rFonts w:cs="Courier New"/>
        </w:rPr>
        <w:t>must remain within 5% (+ or -) of th</w:t>
      </w:r>
      <w:r>
        <w:rPr>
          <w:rFonts w:cs="Courier New"/>
        </w:rPr>
        <w:t>at</w:t>
      </w:r>
      <w:r w:rsidR="00F314C4" w:rsidRPr="005252B0">
        <w:rPr>
          <w:rFonts w:cs="Courier New"/>
        </w:rPr>
        <w:t xml:space="preserve"> sector’s weight in the </w:t>
      </w:r>
      <w:r>
        <w:rPr>
          <w:rFonts w:cs="Courier New"/>
        </w:rPr>
        <w:t>S&amp;P 500</w:t>
      </w:r>
      <w:r w:rsidR="00F314C4" w:rsidRPr="005252B0">
        <w:rPr>
          <w:rFonts w:cs="Courier New"/>
        </w:rPr>
        <w:t>.</w:t>
      </w:r>
    </w:p>
    <w:p w14:paraId="431F5DE4" w14:textId="5920AC6F" w:rsidR="00F314C4" w:rsidRPr="005252B0" w:rsidRDefault="00F314C4" w:rsidP="005252B0">
      <w:pPr>
        <w:pStyle w:val="ListParagraph"/>
        <w:numPr>
          <w:ilvl w:val="0"/>
          <w:numId w:val="1"/>
        </w:numPr>
        <w:rPr>
          <w:rFonts w:cs="Courier New"/>
        </w:rPr>
      </w:pPr>
      <w:r w:rsidRPr="005252B0">
        <w:rPr>
          <w:rFonts w:cs="Courier New"/>
        </w:rPr>
        <w:t>All portfolio factors, such as capitalization size, momentum, etc. are aligned as closely to the benchmark as the eligibl</w:t>
      </w:r>
      <w:r w:rsidR="002833DC">
        <w:rPr>
          <w:rFonts w:cs="Courier New"/>
        </w:rPr>
        <w:t>e</w:t>
      </w:r>
      <w:r w:rsidRPr="005252B0">
        <w:rPr>
          <w:rFonts w:cs="Courier New"/>
        </w:rPr>
        <w:t xml:space="preserve"> company list allows.</w:t>
      </w:r>
    </w:p>
    <w:p w14:paraId="692E6145" w14:textId="607022CA" w:rsidR="00F314C4" w:rsidRPr="005252B0" w:rsidRDefault="00F314C4" w:rsidP="005252B0">
      <w:pPr>
        <w:pStyle w:val="ListParagraph"/>
        <w:numPr>
          <w:ilvl w:val="0"/>
          <w:numId w:val="1"/>
        </w:numPr>
        <w:rPr>
          <w:rFonts w:cs="Courier New"/>
        </w:rPr>
      </w:pPr>
      <w:r w:rsidRPr="005252B0">
        <w:rPr>
          <w:rFonts w:cs="Courier New"/>
        </w:rPr>
        <w:t xml:space="preserve">The portfolio’s beta must remain </w:t>
      </w:r>
      <w:r w:rsidR="005252B0" w:rsidRPr="005252B0">
        <w:rPr>
          <w:rFonts w:cs="Courier New"/>
        </w:rPr>
        <w:t>between 0.9 and 1.1, with 1.0 being the target.</w:t>
      </w:r>
      <w:r w:rsidRPr="005252B0">
        <w:rPr>
          <w:rFonts w:cs="Courier New"/>
        </w:rPr>
        <w:t xml:space="preserve"> </w:t>
      </w:r>
    </w:p>
    <w:p w14:paraId="16EBE264" w14:textId="31695D7B" w:rsidR="002E7BE5" w:rsidRDefault="002E7BE5">
      <w:pPr>
        <w:rPr>
          <w:rFonts w:cs="Courier New"/>
        </w:rPr>
      </w:pPr>
      <w:r>
        <w:rPr>
          <w:rFonts w:cs="Courier New"/>
        </w:rPr>
        <w:t>Table 1 shows the performance of all our portfolios since inception.</w:t>
      </w:r>
    </w:p>
    <w:p w14:paraId="40640DAB" w14:textId="5F2AB08F" w:rsidR="00FA7641" w:rsidRPr="00EB1C02" w:rsidRDefault="00FD4682" w:rsidP="002833DC">
      <w:pPr>
        <w:jc w:val="center"/>
        <w:rPr>
          <w:rFonts w:cs="Courier New"/>
        </w:rPr>
      </w:pPr>
      <w:r>
        <w:rPr>
          <w:rFonts w:cs="Courier New"/>
          <w:noProof/>
        </w:rPr>
        <w:drawing>
          <wp:inline distT="0" distB="0" distL="0" distR="0" wp14:anchorId="5CE1E918" wp14:editId="45CE2234">
            <wp:extent cx="5076404" cy="4411133"/>
            <wp:effectExtent l="0" t="0" r="0" b="8890"/>
            <wp:docPr id="519750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50801" name="Picture 519750801"/>
                    <pic:cNvPicPr/>
                  </pic:nvPicPr>
                  <pic:blipFill>
                    <a:blip r:embed="rId16">
                      <a:extLst>
                        <a:ext uri="{28A0092B-C50C-407E-A947-70E740481C1C}">
                          <a14:useLocalDpi xmlns:a14="http://schemas.microsoft.com/office/drawing/2010/main" val="0"/>
                        </a:ext>
                      </a:extLst>
                    </a:blip>
                    <a:stretch>
                      <a:fillRect/>
                    </a:stretch>
                  </pic:blipFill>
                  <pic:spPr>
                    <a:xfrm>
                      <a:off x="0" y="0"/>
                      <a:ext cx="5083097" cy="4416949"/>
                    </a:xfrm>
                    <a:prstGeom prst="rect">
                      <a:avLst/>
                    </a:prstGeom>
                  </pic:spPr>
                </pic:pic>
              </a:graphicData>
            </a:graphic>
          </wp:inline>
        </w:drawing>
      </w:r>
    </w:p>
    <w:p w14:paraId="5E7D1765" w14:textId="77777777" w:rsidR="001B78B7" w:rsidRDefault="001B78B7">
      <w:pPr>
        <w:rPr>
          <w:rFonts w:cs="Courier New"/>
          <w:b/>
          <w:bCs/>
        </w:rPr>
      </w:pPr>
    </w:p>
    <w:p w14:paraId="45A2D499" w14:textId="77777777" w:rsidR="002833DC" w:rsidRDefault="002833DC">
      <w:pPr>
        <w:rPr>
          <w:rFonts w:cs="Courier New"/>
          <w:b/>
          <w:bCs/>
        </w:rPr>
      </w:pPr>
    </w:p>
    <w:p w14:paraId="04FA6754" w14:textId="3D473BF8" w:rsidR="005B4150" w:rsidRPr="00FD3006" w:rsidRDefault="002833DC">
      <w:pPr>
        <w:rPr>
          <w:rFonts w:cs="Courier New"/>
          <w:b/>
          <w:bCs/>
        </w:rPr>
      </w:pPr>
      <w:r>
        <w:rPr>
          <w:rFonts w:cs="Courier New"/>
          <w:b/>
          <w:bCs/>
        </w:rPr>
        <w:t xml:space="preserve">Conclusion: </w:t>
      </w:r>
      <w:r w:rsidR="00FD3006" w:rsidRPr="00FD3006">
        <w:rPr>
          <w:rFonts w:cs="Courier New"/>
          <w:b/>
          <w:bCs/>
        </w:rPr>
        <w:t xml:space="preserve">What Does </w:t>
      </w:r>
      <w:r w:rsidR="00CC4599">
        <w:rPr>
          <w:rFonts w:cs="Courier New"/>
          <w:b/>
          <w:bCs/>
        </w:rPr>
        <w:t>Persistent</w:t>
      </w:r>
      <w:r>
        <w:rPr>
          <w:rFonts w:cs="Courier New"/>
          <w:b/>
          <w:bCs/>
        </w:rPr>
        <w:t xml:space="preserve"> Outperformance</w:t>
      </w:r>
      <w:r w:rsidR="00FD3006" w:rsidRPr="00FD3006">
        <w:rPr>
          <w:rFonts w:cs="Courier New"/>
          <w:b/>
          <w:bCs/>
        </w:rPr>
        <w:t xml:space="preserve"> Mean</w:t>
      </w:r>
      <w:r w:rsidR="00FD3006">
        <w:rPr>
          <w:rFonts w:cs="Courier New"/>
          <w:b/>
          <w:bCs/>
        </w:rPr>
        <w:t xml:space="preserve"> for </w:t>
      </w:r>
      <w:r>
        <w:rPr>
          <w:rFonts w:cs="Courier New"/>
          <w:b/>
          <w:bCs/>
        </w:rPr>
        <w:t xml:space="preserve">the Random Walk Hypothesis and for </w:t>
      </w:r>
      <w:r w:rsidR="00FD3006">
        <w:rPr>
          <w:rFonts w:cs="Courier New"/>
          <w:b/>
          <w:bCs/>
        </w:rPr>
        <w:t>Investors</w:t>
      </w:r>
      <w:r w:rsidR="00706948">
        <w:rPr>
          <w:rFonts w:cs="Courier New"/>
          <w:b/>
          <w:bCs/>
        </w:rPr>
        <w:t xml:space="preserve"> Who Want Better Returns</w:t>
      </w:r>
      <w:r w:rsidR="00FD3006">
        <w:rPr>
          <w:rFonts w:cs="Courier New"/>
          <w:b/>
          <w:bCs/>
        </w:rPr>
        <w:t>?</w:t>
      </w:r>
    </w:p>
    <w:p w14:paraId="2FD20CD0" w14:textId="0840D06D" w:rsidR="00FD3006" w:rsidRDefault="00FD3006">
      <w:pPr>
        <w:rPr>
          <w:rFonts w:cs="Courier New"/>
        </w:rPr>
      </w:pPr>
      <w:r>
        <w:rPr>
          <w:rFonts w:cs="Courier New"/>
        </w:rPr>
        <w:t>The outperformance of Smith Group and other portfolio managers who achieve long</w:t>
      </w:r>
      <w:r w:rsidR="002833DC">
        <w:rPr>
          <w:rFonts w:cs="Courier New"/>
        </w:rPr>
        <w:t>-</w:t>
      </w:r>
      <w:r>
        <w:rPr>
          <w:rFonts w:cs="Courier New"/>
        </w:rPr>
        <w:t xml:space="preserve">run alpha is not just a rejection of </w:t>
      </w:r>
      <w:r w:rsidR="006C0329">
        <w:rPr>
          <w:rFonts w:cs="Courier New"/>
        </w:rPr>
        <w:t xml:space="preserve">a strict interpretation of the </w:t>
      </w:r>
      <w:r w:rsidR="002833DC">
        <w:rPr>
          <w:rFonts w:cs="Courier New"/>
        </w:rPr>
        <w:t>random walk hypothesis</w:t>
      </w:r>
      <w:r>
        <w:rPr>
          <w:rFonts w:cs="Courier New"/>
        </w:rPr>
        <w:t>. For investors it means that index</w:t>
      </w:r>
      <w:r w:rsidR="002833DC">
        <w:rPr>
          <w:rFonts w:cs="Courier New"/>
        </w:rPr>
        <w:t xml:space="preserve"> investing</w:t>
      </w:r>
      <w:r>
        <w:rPr>
          <w:rFonts w:cs="Courier New"/>
        </w:rPr>
        <w:t xml:space="preserve"> is not a free lunch.</w:t>
      </w:r>
      <w:r w:rsidR="00C02DE2">
        <w:rPr>
          <w:rFonts w:cs="Courier New"/>
        </w:rPr>
        <w:t xml:space="preserve"> </w:t>
      </w:r>
      <w:r w:rsidR="002833DC">
        <w:rPr>
          <w:rFonts w:cs="Courier New"/>
        </w:rPr>
        <w:t xml:space="preserve">Its </w:t>
      </w:r>
      <w:r w:rsidR="00D02A43">
        <w:rPr>
          <w:rFonts w:cs="Courier New"/>
        </w:rPr>
        <w:t xml:space="preserve">hidden </w:t>
      </w:r>
      <w:r w:rsidR="002833DC">
        <w:rPr>
          <w:rFonts w:cs="Courier New"/>
        </w:rPr>
        <w:t>cost</w:t>
      </w:r>
      <w:r w:rsidR="00C02DE2">
        <w:rPr>
          <w:rFonts w:cs="Courier New"/>
        </w:rPr>
        <w:t xml:space="preserve"> </w:t>
      </w:r>
      <w:r w:rsidR="006C0329">
        <w:rPr>
          <w:rFonts w:cs="Courier New"/>
        </w:rPr>
        <w:t>is</w:t>
      </w:r>
      <w:r w:rsidR="00C02DE2">
        <w:rPr>
          <w:rFonts w:cs="Courier New"/>
        </w:rPr>
        <w:t xml:space="preserve"> performance sacrificed to managers who have successfully identif</w:t>
      </w:r>
      <w:r w:rsidR="002833DC">
        <w:rPr>
          <w:rFonts w:cs="Courier New"/>
        </w:rPr>
        <w:t>i</w:t>
      </w:r>
      <w:r w:rsidR="00C02DE2">
        <w:rPr>
          <w:rFonts w:cs="Courier New"/>
        </w:rPr>
        <w:t>ed mispriced factors and incorporated them into portfolios.</w:t>
      </w:r>
      <w:r>
        <w:rPr>
          <w:rFonts w:cs="Courier New"/>
        </w:rPr>
        <w:t xml:space="preserve"> </w:t>
      </w:r>
      <w:r w:rsidR="00706948">
        <w:rPr>
          <w:rFonts w:cs="Courier New"/>
        </w:rPr>
        <w:t>I</w:t>
      </w:r>
      <w:r w:rsidR="002833DC">
        <w:rPr>
          <w:rFonts w:cs="Courier New"/>
        </w:rPr>
        <w:t xml:space="preserve">t </w:t>
      </w:r>
      <w:r w:rsidR="00706948">
        <w:rPr>
          <w:rFonts w:cs="Courier New"/>
        </w:rPr>
        <w:t xml:space="preserve">is </w:t>
      </w:r>
      <w:r w:rsidR="002833DC">
        <w:rPr>
          <w:rFonts w:cs="Courier New"/>
        </w:rPr>
        <w:t xml:space="preserve">the </w:t>
      </w:r>
      <w:r w:rsidR="00706948">
        <w:rPr>
          <w:rFonts w:cs="Courier New"/>
        </w:rPr>
        <w:t>opportunity cost</w:t>
      </w:r>
      <w:r w:rsidR="00D02A43">
        <w:rPr>
          <w:rFonts w:cs="Courier New"/>
        </w:rPr>
        <w:t xml:space="preserve"> </w:t>
      </w:r>
      <w:r w:rsidR="00706948">
        <w:rPr>
          <w:rFonts w:cs="Courier New"/>
        </w:rPr>
        <w:t>of</w:t>
      </w:r>
      <w:r w:rsidR="00CC4599">
        <w:rPr>
          <w:rFonts w:cs="Courier New"/>
        </w:rPr>
        <w:t xml:space="preserve"> </w:t>
      </w:r>
      <w:r w:rsidR="00D02A43">
        <w:rPr>
          <w:rFonts w:cs="Courier New"/>
        </w:rPr>
        <w:t>a</w:t>
      </w:r>
      <w:r w:rsidR="00CC4599">
        <w:rPr>
          <w:rFonts w:cs="Courier New"/>
        </w:rPr>
        <w:t>n absolutist</w:t>
      </w:r>
      <w:r w:rsidR="002833DC">
        <w:rPr>
          <w:rFonts w:cs="Courier New"/>
        </w:rPr>
        <w:t xml:space="preserve"> belief that stock prices </w:t>
      </w:r>
      <w:r w:rsidR="00CC4599">
        <w:rPr>
          <w:rFonts w:cs="Courier New"/>
        </w:rPr>
        <w:t xml:space="preserve">only </w:t>
      </w:r>
      <w:r w:rsidR="002833DC">
        <w:rPr>
          <w:rFonts w:cs="Courier New"/>
        </w:rPr>
        <w:t>move randomly.</w:t>
      </w:r>
    </w:p>
    <w:p w14:paraId="4297426D" w14:textId="7233C9F8" w:rsidR="00B14E58" w:rsidRDefault="00B14E58">
      <w:pPr>
        <w:rPr>
          <w:rFonts w:cs="Courier New"/>
        </w:rPr>
      </w:pPr>
      <w:r>
        <w:rPr>
          <w:rFonts w:cs="Courier New"/>
          <w:noProof/>
        </w:rPr>
        <mc:AlternateContent>
          <mc:Choice Requires="wps">
            <w:drawing>
              <wp:anchor distT="0" distB="0" distL="114300" distR="114300" simplePos="0" relativeHeight="251659264" behindDoc="0" locked="0" layoutInCell="1" allowOverlap="1" wp14:anchorId="47D83404" wp14:editId="7188384C">
                <wp:simplePos x="0" y="0"/>
                <wp:positionH relativeFrom="column">
                  <wp:posOffset>-907085</wp:posOffset>
                </wp:positionH>
                <wp:positionV relativeFrom="paragraph">
                  <wp:posOffset>250393</wp:posOffset>
                </wp:positionV>
                <wp:extent cx="7798003" cy="431597"/>
                <wp:effectExtent l="0" t="0" r="12700" b="26035"/>
                <wp:wrapNone/>
                <wp:docPr id="262972982" name="Rectangle 2"/>
                <wp:cNvGraphicFramePr/>
                <a:graphic xmlns:a="http://schemas.openxmlformats.org/drawingml/2006/main">
                  <a:graphicData uri="http://schemas.microsoft.com/office/word/2010/wordprocessingShape">
                    <wps:wsp>
                      <wps:cNvSpPr/>
                      <wps:spPr>
                        <a:xfrm>
                          <a:off x="0" y="0"/>
                          <a:ext cx="7798003" cy="4315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0C979" id="Rectangle 2" o:spid="_x0000_s1026" style="position:absolute;margin-left:-71.4pt;margin-top:19.7pt;width:614pt;height: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" fillcolor="#156082 [3204]" strokecolor="#030e13 [484]" strokeweight="1pt"/>
            </w:pict>
          </mc:Fallback>
        </mc:AlternateContent>
      </w:r>
    </w:p>
    <w:p w14:paraId="7A7D7291" w14:textId="77777777" w:rsidR="00B14E58" w:rsidRDefault="00B14E58">
      <w:pPr>
        <w:rPr>
          <w:rFonts w:cs="Courier New"/>
        </w:rPr>
      </w:pPr>
    </w:p>
    <w:p w14:paraId="7C9BBA71" w14:textId="77777777" w:rsidR="00B14E58" w:rsidRDefault="00B14E58">
      <w:pPr>
        <w:rPr>
          <w:rFonts w:cs="Courier New"/>
        </w:rPr>
      </w:pPr>
    </w:p>
    <w:p w14:paraId="50CD156A" w14:textId="6054CFBD" w:rsidR="006C0329" w:rsidRPr="00B14E58" w:rsidRDefault="006C0329" w:rsidP="006C0329">
      <w:pPr>
        <w:rPr>
          <w:rFonts w:cs="Courier New"/>
          <w:b/>
          <w:bCs/>
          <w:sz w:val="20"/>
          <w:szCs w:val="20"/>
        </w:rPr>
      </w:pPr>
      <w:r w:rsidRPr="00B14E58">
        <w:rPr>
          <w:rFonts w:cs="Courier New"/>
          <w:b/>
          <w:bCs/>
          <w:sz w:val="20"/>
          <w:szCs w:val="20"/>
        </w:rPr>
        <w:t>DISCLOSURES</w:t>
      </w:r>
    </w:p>
    <w:p w14:paraId="7BD37DB2" w14:textId="1BF2E878" w:rsidR="006C0329" w:rsidRPr="006C0329" w:rsidRDefault="006C0329" w:rsidP="006C0329">
      <w:pPr>
        <w:rPr>
          <w:rFonts w:cs="Courier New"/>
          <w:sz w:val="20"/>
          <w:szCs w:val="20"/>
        </w:rPr>
      </w:pPr>
      <w:r w:rsidRPr="006C0329">
        <w:rPr>
          <w:rFonts w:cs="Courier New"/>
          <w:sz w:val="20"/>
          <w:szCs w:val="20"/>
        </w:rPr>
        <w:t xml:space="preserve">Firm: Originally founded in 1995, Smith Group Asset Management, LLC is now part of Cantor Fitzgerald Investment Advisors, L.P., an SEC registered investment adviser a </w:t>
      </w:r>
      <w:proofErr w:type="gramStart"/>
      <w:r w:rsidRPr="006C0329">
        <w:rPr>
          <w:rFonts w:cs="Courier New"/>
          <w:sz w:val="20"/>
          <w:szCs w:val="20"/>
        </w:rPr>
        <w:t>wholly-owned</w:t>
      </w:r>
      <w:proofErr w:type="gramEnd"/>
      <w:r w:rsidRPr="006C0329">
        <w:rPr>
          <w:rFonts w:cs="Courier New"/>
          <w:sz w:val="20"/>
          <w:szCs w:val="20"/>
        </w:rPr>
        <w:t xml:space="preserve"> subsidiary of Cantor Fitzgerald, L.P., starting in July 2021. Smith Group is a registered investment advisor that specializes in equity investment management services. The firm manages assets for a diverse list of clients, which includes foundations, endowments, corporate pensions, public funds, multi-employer plans and high-net worth individuals. Effective Jan. 1, 2006, the firm was redefined to exclude wrap SMA business.</w:t>
      </w:r>
    </w:p>
    <w:p w14:paraId="7B8A0920" w14:textId="77777777" w:rsidR="006C0329" w:rsidRPr="006C0329" w:rsidRDefault="006C0329" w:rsidP="006C0329">
      <w:pPr>
        <w:rPr>
          <w:rFonts w:cs="Courier New"/>
          <w:sz w:val="20"/>
          <w:szCs w:val="20"/>
        </w:rPr>
      </w:pPr>
      <w:r w:rsidRPr="006C0329">
        <w:rPr>
          <w:rFonts w:cs="Courier New"/>
          <w:sz w:val="20"/>
          <w:szCs w:val="20"/>
        </w:rPr>
        <w:t>Internal Dispersion</w:t>
      </w:r>
      <w:proofErr w:type="gramStart"/>
      <w:r w:rsidRPr="006C0329">
        <w:rPr>
          <w:rFonts w:cs="Courier New"/>
          <w:sz w:val="20"/>
          <w:szCs w:val="20"/>
        </w:rPr>
        <w:t>:  Internal</w:t>
      </w:r>
      <w:proofErr w:type="gramEnd"/>
      <w:r w:rsidRPr="006C0329">
        <w:rPr>
          <w:rFonts w:cs="Courier New"/>
          <w:sz w:val="20"/>
          <w:szCs w:val="20"/>
        </w:rPr>
        <w:t xml:space="preserve"> dispersion is calculated using the asset-weighted standard deviation of all portfolios that were included in the composite for the entire year.</w:t>
      </w:r>
    </w:p>
    <w:p w14:paraId="798D0D61" w14:textId="77777777" w:rsidR="006C0329" w:rsidRPr="006C0329" w:rsidRDefault="006C0329" w:rsidP="006C0329">
      <w:pPr>
        <w:rPr>
          <w:rFonts w:cs="Courier New"/>
          <w:sz w:val="20"/>
          <w:szCs w:val="20"/>
        </w:rPr>
      </w:pPr>
      <w:r w:rsidRPr="006C0329">
        <w:rPr>
          <w:rFonts w:cs="Courier New"/>
          <w:sz w:val="20"/>
          <w:szCs w:val="20"/>
        </w:rPr>
        <w:t>Three-year Annualized Standard Deviation</w:t>
      </w:r>
      <w:proofErr w:type="gramStart"/>
      <w:r w:rsidRPr="006C0329">
        <w:rPr>
          <w:rFonts w:cs="Courier New"/>
          <w:sz w:val="20"/>
          <w:szCs w:val="20"/>
        </w:rPr>
        <w:t>:  Measures</w:t>
      </w:r>
      <w:proofErr w:type="gramEnd"/>
      <w:r w:rsidRPr="006C0329">
        <w:rPr>
          <w:rFonts w:cs="Courier New"/>
          <w:sz w:val="20"/>
          <w:szCs w:val="20"/>
        </w:rPr>
        <w:t xml:space="preserve"> the variability of the composite and the benchmark returns over the preceding 36-month period. For periods in which 36 monthly returns are not available, the three-year annualized ex-post standard deviation of the composite is not presented.</w:t>
      </w:r>
    </w:p>
    <w:p w14:paraId="33472CB6" w14:textId="77777777" w:rsidR="006C0329" w:rsidRPr="006C0329" w:rsidRDefault="006C0329" w:rsidP="006C0329">
      <w:pPr>
        <w:rPr>
          <w:rFonts w:cs="Courier New"/>
          <w:sz w:val="20"/>
          <w:szCs w:val="20"/>
        </w:rPr>
      </w:pPr>
      <w:r w:rsidRPr="006C0329">
        <w:rPr>
          <w:rFonts w:cs="Courier New"/>
          <w:sz w:val="20"/>
          <w:szCs w:val="20"/>
        </w:rPr>
        <w:t>Currency: Valuations and returns are computed and stated in U.S. dollars.</w:t>
      </w:r>
    </w:p>
    <w:p w14:paraId="4C8B204D" w14:textId="77777777" w:rsidR="006C0329" w:rsidRPr="006C0329" w:rsidRDefault="006C0329" w:rsidP="006C0329">
      <w:pPr>
        <w:rPr>
          <w:rFonts w:cs="Courier New"/>
          <w:sz w:val="20"/>
          <w:szCs w:val="20"/>
        </w:rPr>
      </w:pPr>
      <w:r w:rsidRPr="006C0329">
        <w:rPr>
          <w:rFonts w:cs="Courier New"/>
          <w:sz w:val="20"/>
          <w:szCs w:val="20"/>
        </w:rPr>
        <w:t xml:space="preserve">GIPS ® Compliance: Smith Group claims compliance with the Global Investment Performance Standards (GIPS®) and has prepared and presented this report in compliance with the GIPS standards. Smith Group has been independently verified for the period Jan. 1, 1992 - Dec. 31, 2024. The verification report is available upon request. A firm that claims compliance with GIPs standards must establish policies and procedures for complying with </w:t>
      </w:r>
      <w:proofErr w:type="gramStart"/>
      <w:r w:rsidRPr="006C0329">
        <w:rPr>
          <w:rFonts w:cs="Courier New"/>
          <w:sz w:val="20"/>
          <w:szCs w:val="20"/>
        </w:rPr>
        <w:t>all  the</w:t>
      </w:r>
      <w:proofErr w:type="gramEnd"/>
      <w:r w:rsidRPr="006C0329">
        <w:rPr>
          <w:rFonts w:cs="Courier New"/>
          <w:sz w:val="20"/>
          <w:szCs w:val="20"/>
        </w:rPr>
        <w:t xml:space="preserve"> applicable requirements of the GIPs standards. Verification provides assurance on whether the firm's policies and procedures related to composite and pooled fund maintenance, as well as the calculation, presentation, and distribution of performance, have been designed in compliance with </w:t>
      </w:r>
      <w:proofErr w:type="gramStart"/>
      <w:r w:rsidRPr="006C0329">
        <w:rPr>
          <w:rFonts w:cs="Courier New"/>
          <w:sz w:val="20"/>
          <w:szCs w:val="20"/>
        </w:rPr>
        <w:t>the GIPs</w:t>
      </w:r>
      <w:proofErr w:type="gramEnd"/>
      <w:r w:rsidRPr="006C0329">
        <w:rPr>
          <w:rFonts w:cs="Courier New"/>
          <w:sz w:val="20"/>
          <w:szCs w:val="20"/>
        </w:rPr>
        <w:t xml:space="preserve"> standards and have been implemented on a firm-wide basis. Verification does not provide assurance on the accuracy of any specific performance report. </w:t>
      </w:r>
    </w:p>
    <w:p w14:paraId="1063102E" w14:textId="77777777" w:rsidR="006C0329" w:rsidRPr="006C0329" w:rsidRDefault="006C0329" w:rsidP="006C0329">
      <w:pPr>
        <w:rPr>
          <w:rFonts w:cs="Courier New"/>
          <w:sz w:val="20"/>
          <w:szCs w:val="20"/>
        </w:rPr>
      </w:pPr>
      <w:r w:rsidRPr="006C0329">
        <w:rPr>
          <w:rFonts w:cs="Courier New"/>
          <w:sz w:val="20"/>
          <w:szCs w:val="20"/>
        </w:rPr>
        <w:lastRenderedPageBreak/>
        <w:t>Performance Composites</w:t>
      </w:r>
      <w:proofErr w:type="gramStart"/>
      <w:r w:rsidRPr="006C0329">
        <w:rPr>
          <w:rFonts w:cs="Courier New"/>
          <w:sz w:val="20"/>
          <w:szCs w:val="20"/>
        </w:rPr>
        <w:t>:  The</w:t>
      </w:r>
      <w:proofErr w:type="gramEnd"/>
      <w:r w:rsidRPr="006C0329">
        <w:rPr>
          <w:rFonts w:cs="Courier New"/>
          <w:sz w:val="20"/>
          <w:szCs w:val="20"/>
        </w:rPr>
        <w:t xml:space="preserve"> performance presented is the trade date time-weighted total return including both capital appreciation and reinvested dividends. The composite reflects all accounts managed in an active fully discretionary manner in accordance with the strategy. Smith Group performance is the total return including cash and cash equivalents, gross of fees, of an asset-weighted composite of all fully discretionary portfolios. Accounts are added to the composite at the beginning of the first quarter after full investment of the account. Accounts are removed from the composite at the month end prior to change in account status. Performance shown in the composite is based on actual portfolios, no simulated or back-tested performance is included. In addition to this composite Smith Group also maintains numerous other performance composites. A list of pooled funds and composites descriptions are available upon request. </w:t>
      </w:r>
    </w:p>
    <w:p w14:paraId="43705EE5" w14:textId="77777777" w:rsidR="006C0329" w:rsidRPr="006C0329" w:rsidRDefault="006C0329" w:rsidP="006C0329">
      <w:pPr>
        <w:rPr>
          <w:rFonts w:cs="Courier New"/>
          <w:sz w:val="20"/>
          <w:szCs w:val="20"/>
        </w:rPr>
      </w:pPr>
      <w:r w:rsidRPr="006C0329">
        <w:rPr>
          <w:rFonts w:cs="Courier New"/>
          <w:sz w:val="20"/>
          <w:szCs w:val="20"/>
        </w:rPr>
        <w:t xml:space="preserve">Net of fee performance: Reflects the deduction of the maximum applicable fixed rate fee level for the referenced portfolio. All performance returns include the impact of cash, cash equivalents, dividends and interest. This fee is deducted in equal installments on a quarterly basis. This fee may be revised periodically. The historic performance, net of advisory fees, can be calculated by subtracting from the performance shown the fee appropriate for your situation. The fee varies based on the level of assets managed for each client. To </w:t>
      </w:r>
      <w:proofErr w:type="gramStart"/>
      <w:r w:rsidRPr="006C0329">
        <w:rPr>
          <w:rFonts w:cs="Courier New"/>
          <w:sz w:val="20"/>
          <w:szCs w:val="20"/>
        </w:rPr>
        <w:t>find</w:t>
      </w:r>
      <w:proofErr w:type="gramEnd"/>
      <w:r w:rsidRPr="006C0329">
        <w:rPr>
          <w:rFonts w:cs="Courier New"/>
          <w:sz w:val="20"/>
          <w:szCs w:val="20"/>
        </w:rPr>
        <w:t xml:space="preserve"> the fee that applies to your situation, please refer to Smith Group's Form ADV Part II. If you need assistance in the calculation of the net of fee performance, Smith Group will be glad to assist you. </w:t>
      </w:r>
    </w:p>
    <w:p w14:paraId="48F55B25" w14:textId="77777777" w:rsidR="006C0329" w:rsidRPr="006C0329" w:rsidRDefault="006C0329" w:rsidP="006C0329">
      <w:pPr>
        <w:rPr>
          <w:rFonts w:cs="Courier New"/>
          <w:sz w:val="20"/>
          <w:szCs w:val="20"/>
        </w:rPr>
      </w:pPr>
      <w:r w:rsidRPr="006C0329">
        <w:rPr>
          <w:rFonts w:cs="Courier New"/>
          <w:sz w:val="20"/>
          <w:szCs w:val="20"/>
        </w:rPr>
        <w:t xml:space="preserve">Net of Max Fee shown </w:t>
      </w:r>
      <w:proofErr w:type="gramStart"/>
      <w:r w:rsidRPr="006C0329">
        <w:rPr>
          <w:rFonts w:cs="Courier New"/>
          <w:sz w:val="20"/>
          <w:szCs w:val="20"/>
        </w:rPr>
        <w:t>reflects</w:t>
      </w:r>
      <w:proofErr w:type="gramEnd"/>
      <w:r w:rsidRPr="006C0329">
        <w:rPr>
          <w:rFonts w:cs="Courier New"/>
          <w:sz w:val="20"/>
          <w:szCs w:val="20"/>
        </w:rPr>
        <w:t xml:space="preserve"> the deduction of 2.50%</w:t>
      </w:r>
      <w:proofErr w:type="gramStart"/>
      <w:r w:rsidRPr="006C0329">
        <w:rPr>
          <w:rFonts w:cs="Courier New"/>
          <w:sz w:val="20"/>
          <w:szCs w:val="20"/>
        </w:rPr>
        <w:t xml:space="preserve"> maximum</w:t>
      </w:r>
      <w:proofErr w:type="gramEnd"/>
      <w:r w:rsidRPr="006C0329">
        <w:rPr>
          <w:rFonts w:cs="Courier New"/>
          <w:sz w:val="20"/>
          <w:szCs w:val="20"/>
        </w:rPr>
        <w:t xml:space="preserve"> advisory charged by separately managed account platform sponsors plus the maximum fee charged by Smith Group for platform accounts for a total annual fee of 3.00%, allocated quarterly. The fee rate is believed to be representative of the maximum applicable fixed rate advisory and platform access fee level any investor would pay. </w:t>
      </w:r>
    </w:p>
    <w:p w14:paraId="07B6801F" w14:textId="77777777" w:rsidR="006C0329" w:rsidRPr="006C0329" w:rsidRDefault="006C0329" w:rsidP="006C0329">
      <w:pPr>
        <w:rPr>
          <w:rFonts w:cs="Courier New"/>
          <w:sz w:val="20"/>
          <w:szCs w:val="20"/>
        </w:rPr>
      </w:pPr>
      <w:r w:rsidRPr="006C0329">
        <w:rPr>
          <w:rFonts w:cs="Courier New"/>
          <w:sz w:val="20"/>
          <w:szCs w:val="20"/>
        </w:rPr>
        <w:t>Holdings, Economic Sectors and Characteristics</w:t>
      </w:r>
      <w:proofErr w:type="gramStart"/>
      <w:r w:rsidRPr="006C0329">
        <w:rPr>
          <w:rFonts w:cs="Courier New"/>
          <w:sz w:val="20"/>
          <w:szCs w:val="20"/>
        </w:rPr>
        <w:t>:  It</w:t>
      </w:r>
      <w:proofErr w:type="gramEnd"/>
      <w:r w:rsidRPr="006C0329">
        <w:rPr>
          <w:rFonts w:cs="Courier New"/>
          <w:sz w:val="20"/>
          <w:szCs w:val="20"/>
        </w:rPr>
        <w:t xml:space="preserve"> should not be assumed that recommendations made in the future will be profitable or will equal the performance of the securities and economic sectors shown. A list of recommendations made within the last twelve months is available upon request. The information shown is not intended nor should it be construed to be a recommendation to buy or sell an individual security or economic sector. Any portfolio characteristics or holdings that are shown are intended to present the portfolio as it existed on the date of the report. You should not assume that these same characteristics or holdings will exist in the future.</w:t>
      </w:r>
    </w:p>
    <w:p w14:paraId="7F5DEB64" w14:textId="77777777" w:rsidR="006C0329" w:rsidRPr="006C0329" w:rsidRDefault="006C0329" w:rsidP="006C0329">
      <w:pPr>
        <w:rPr>
          <w:rFonts w:cs="Courier New"/>
          <w:sz w:val="20"/>
          <w:szCs w:val="20"/>
        </w:rPr>
      </w:pPr>
      <w:r w:rsidRPr="006C0329">
        <w:rPr>
          <w:rFonts w:cs="Courier New"/>
          <w:sz w:val="20"/>
          <w:szCs w:val="20"/>
        </w:rPr>
        <w:t xml:space="preserve">Earnings Surprise: According to many academic studies, earnings surprise has had a positive relationship to relative performance in most time periods and for most companies. However, this does not mean that this relationship exists for all time periods and for all companies. In the recent past, periods coinciding with an inverse relationship between earnings surprise and relative performance have typically been periods in which corporate earnings are not the focus of investors’ attention. Additionally, companies which have had a chronic negative relationship between earnings surprise and relative performance are typically those companies whose earnings are not product-driven, such as commodity companies. There is no assurance that the historic positive relationship between earnings surprise and relative performance will exist in the future. Nor is there any assurance that the historic ability of Smith Group to forecast a high rate of positive earnings surprise companies will exist in the future. </w:t>
      </w:r>
    </w:p>
    <w:p w14:paraId="511C5C21" w14:textId="77777777" w:rsidR="006C0329" w:rsidRPr="006C0329" w:rsidRDefault="006C0329" w:rsidP="006C0329">
      <w:pPr>
        <w:rPr>
          <w:rFonts w:cs="Courier New"/>
          <w:sz w:val="20"/>
          <w:szCs w:val="20"/>
        </w:rPr>
      </w:pPr>
      <w:r w:rsidRPr="006C0329">
        <w:rPr>
          <w:rFonts w:cs="Courier New"/>
          <w:sz w:val="20"/>
          <w:szCs w:val="20"/>
        </w:rPr>
        <w:t>Policies for valuing investments, calculating performance, and preparing GIPS Reports are available upon request.</w:t>
      </w:r>
    </w:p>
    <w:p w14:paraId="595A01A6" w14:textId="3D61E452" w:rsidR="006C0329" w:rsidRPr="006C0329" w:rsidRDefault="006C0329" w:rsidP="006C0329">
      <w:pPr>
        <w:rPr>
          <w:rFonts w:cs="Courier New"/>
          <w:sz w:val="20"/>
          <w:szCs w:val="20"/>
        </w:rPr>
      </w:pPr>
      <w:r w:rsidRPr="006C0329">
        <w:rPr>
          <w:rFonts w:cs="Courier New"/>
          <w:sz w:val="20"/>
          <w:szCs w:val="20"/>
        </w:rPr>
        <w:t>GIPS Registered Trademark: GIPS ® is a registered trademark of CFA Institute. CFA Institute does not endorse or promote this organization, nor does it warrant the accuracy or quality of the content contained herein.</w:t>
      </w:r>
    </w:p>
    <w:p w14:paraId="6EA1CBE2" w14:textId="3BFEE9F3" w:rsidR="006C0329" w:rsidRPr="006C0329" w:rsidRDefault="006C0329" w:rsidP="006C0329">
      <w:pPr>
        <w:rPr>
          <w:rFonts w:cs="Courier New"/>
          <w:sz w:val="20"/>
          <w:szCs w:val="20"/>
        </w:rPr>
      </w:pPr>
      <w:r w:rsidRPr="006C0329">
        <w:rPr>
          <w:rFonts w:cs="Courier New"/>
          <w:sz w:val="20"/>
          <w:szCs w:val="20"/>
        </w:rPr>
        <w:lastRenderedPageBreak/>
        <w:t xml:space="preserve">Past performance is not indicative of future results. As with any investment vehicle, there is always </w:t>
      </w:r>
      <w:proofErr w:type="gramStart"/>
      <w:r w:rsidRPr="006C0329">
        <w:rPr>
          <w:rFonts w:cs="Courier New"/>
          <w:sz w:val="20"/>
          <w:szCs w:val="20"/>
        </w:rPr>
        <w:t>a potential</w:t>
      </w:r>
      <w:proofErr w:type="gramEnd"/>
      <w:r w:rsidRPr="006C0329">
        <w:rPr>
          <w:rFonts w:cs="Courier New"/>
          <w:sz w:val="20"/>
          <w:szCs w:val="20"/>
        </w:rPr>
        <w:t xml:space="preserve"> for profit as well as the possibility of loss. Actual results may differ from composite returns, depending on account size, investment guidelines and/or restrictions, inception date and other factors. Nothing contained in this presentation should be construed as a recommendation to buy or sell a security or economic sector. This material is for your own personal information, and we are not soliciting any action based upon it. The material is based upon information we consider reliable, but we do not represent that it is accurate or complete and it should not be relied upon as such. </w:t>
      </w:r>
    </w:p>
    <w:p w14:paraId="50178088" w14:textId="77777777" w:rsidR="006C0329" w:rsidRPr="006C0329" w:rsidRDefault="006C0329" w:rsidP="006C0329">
      <w:pPr>
        <w:rPr>
          <w:rFonts w:cs="Courier New"/>
          <w:sz w:val="20"/>
          <w:szCs w:val="20"/>
        </w:rPr>
      </w:pPr>
      <w:r w:rsidRPr="006C0329">
        <w:rPr>
          <w:rFonts w:cs="Courier New"/>
          <w:sz w:val="20"/>
          <w:szCs w:val="20"/>
        </w:rPr>
        <w:t>Definitions</w:t>
      </w:r>
    </w:p>
    <w:p w14:paraId="0EC2DCCC" w14:textId="30AABCBF" w:rsidR="00CC7E7C" w:rsidRPr="00B14E58" w:rsidRDefault="006C0329" w:rsidP="006C0329">
      <w:pPr>
        <w:rPr>
          <w:rFonts w:cs="Courier New"/>
          <w:sz w:val="20"/>
          <w:szCs w:val="20"/>
        </w:rPr>
      </w:pPr>
      <w:r w:rsidRPr="00B14E58">
        <w:rPr>
          <w:rFonts w:cs="Courier New"/>
          <w:sz w:val="20"/>
          <w:szCs w:val="20"/>
        </w:rPr>
        <w:t xml:space="preserve">P/E (price/earnings) ratio is a valuation ratio of a company’s current share price compared to its earnings per share. In this case, P/E is calculated using consensus forecasted earnings per share for the next </w:t>
      </w:r>
      <w:proofErr w:type="gramStart"/>
      <w:r w:rsidRPr="00B14E58">
        <w:rPr>
          <w:rFonts w:cs="Courier New"/>
          <w:sz w:val="20"/>
          <w:szCs w:val="20"/>
        </w:rPr>
        <w:t>12-months</w:t>
      </w:r>
      <w:proofErr w:type="gramEnd"/>
      <w:r w:rsidRPr="00B14E58">
        <w:rPr>
          <w:rFonts w:cs="Courier New"/>
          <w:sz w:val="20"/>
          <w:szCs w:val="20"/>
        </w:rPr>
        <w:t xml:space="preserve">. Weighted average market capitalization is a measure of the sum, weighted by Fund position weight, of the total market capitalizations of the Fund holdings. Median market capitalization is the sum of the total value of a company’s outstanding shares multiplied by the price of one share. EPS (earnings per share) growth is a measure of the sum, weighted by Fund position weight of the change in earnings per share reported by the company over a specific </w:t>
      </w:r>
      <w:proofErr w:type="gramStart"/>
      <w:r w:rsidRPr="00B14E58">
        <w:rPr>
          <w:rFonts w:cs="Courier New"/>
          <w:sz w:val="20"/>
          <w:szCs w:val="20"/>
        </w:rPr>
        <w:t>time period</w:t>
      </w:r>
      <w:proofErr w:type="gramEnd"/>
      <w:r w:rsidRPr="00B14E58">
        <w:rPr>
          <w:rFonts w:cs="Courier New"/>
          <w:sz w:val="20"/>
          <w:szCs w:val="20"/>
        </w:rPr>
        <w:t xml:space="preserve">. Portfolio turnover is calculated as the </w:t>
      </w:r>
      <w:proofErr w:type="gramStart"/>
      <w:r w:rsidRPr="00B14E58">
        <w:rPr>
          <w:rFonts w:cs="Courier New"/>
          <w:sz w:val="20"/>
          <w:szCs w:val="20"/>
        </w:rPr>
        <w:t>lesser</w:t>
      </w:r>
      <w:proofErr w:type="gramEnd"/>
      <w:r w:rsidRPr="00B14E58">
        <w:rPr>
          <w:rFonts w:cs="Courier New"/>
          <w:sz w:val="20"/>
          <w:szCs w:val="20"/>
        </w:rPr>
        <w:t xml:space="preserve"> of the value of all purchases or sales divided by the average of the Fund’s total holdings. Holdings is a count of all Fund holdings excluding any cash or cash equivalents held by the Fund.</w:t>
      </w:r>
    </w:p>
    <w:p w14:paraId="55149671" w14:textId="77777777" w:rsidR="000C7C84" w:rsidRPr="000C7C84" w:rsidRDefault="000C7C84" w:rsidP="000C7C84">
      <w:pPr>
        <w:rPr>
          <w:rFonts w:cs="Courier New"/>
          <w:sz w:val="20"/>
          <w:szCs w:val="20"/>
        </w:rPr>
      </w:pPr>
      <w:r w:rsidRPr="000C7C84">
        <w:rPr>
          <w:rFonts w:cs="Courier New"/>
          <w:b/>
          <w:bCs/>
          <w:sz w:val="20"/>
          <w:szCs w:val="20"/>
        </w:rPr>
        <w:t xml:space="preserve">Composite Definition: Cantor Fitzgerald Large Cap Focused Strategy </w:t>
      </w:r>
      <w:r w:rsidRPr="000C7C84">
        <w:rPr>
          <w:rFonts w:cs="Courier New"/>
          <w:sz w:val="20"/>
          <w:szCs w:val="20"/>
        </w:rPr>
        <w:t>(</w:t>
      </w:r>
      <w:proofErr w:type="spellStart"/>
      <w:r w:rsidRPr="000C7C84">
        <w:rPr>
          <w:rFonts w:cs="Courier New"/>
          <w:sz w:val="20"/>
          <w:szCs w:val="20"/>
        </w:rPr>
        <w:t>fka</w:t>
      </w:r>
      <w:proofErr w:type="spellEnd"/>
      <w:r w:rsidRPr="000C7C84">
        <w:rPr>
          <w:rFonts w:cs="Courier New"/>
          <w:sz w:val="20"/>
          <w:szCs w:val="20"/>
        </w:rPr>
        <w:t xml:space="preserve"> Cantor Smith Large Cap Focused; Smith Large Cap Core/Growth)</w:t>
      </w:r>
      <w:proofErr w:type="gramStart"/>
      <w:r w:rsidRPr="000C7C84">
        <w:rPr>
          <w:rFonts w:cs="Courier New"/>
          <w:sz w:val="20"/>
          <w:szCs w:val="20"/>
        </w:rPr>
        <w:t>–  It</w:t>
      </w:r>
      <w:proofErr w:type="gramEnd"/>
      <w:r w:rsidRPr="000C7C84">
        <w:rPr>
          <w:rFonts w:cs="Courier New"/>
          <w:sz w:val="20"/>
          <w:szCs w:val="20"/>
        </w:rPr>
        <w:t xml:space="preserve"> is comprised of accounts whose primary objective is growth of principal by investing primarily in stock of large capitalization U.S. companies. Inclusion in this composite requires that accounts are in general not missing </w:t>
      </w:r>
      <w:proofErr w:type="gramStart"/>
      <w:r w:rsidRPr="000C7C84">
        <w:rPr>
          <w:rFonts w:cs="Courier New"/>
          <w:sz w:val="20"/>
          <w:szCs w:val="20"/>
        </w:rPr>
        <w:t>in excess of</w:t>
      </w:r>
      <w:proofErr w:type="gramEnd"/>
      <w:r w:rsidRPr="000C7C84">
        <w:rPr>
          <w:rFonts w:cs="Courier New"/>
          <w:sz w:val="20"/>
          <w:szCs w:val="20"/>
        </w:rPr>
        <w:t xml:space="preserve"> 5% of the firm’s recommended portfolio. A portfolio manager will review for appropriateness of inclusion in the composite any account maintaining a cash position greater than 10% or missing </w:t>
      </w:r>
      <w:proofErr w:type="gramStart"/>
      <w:r w:rsidRPr="000C7C84">
        <w:rPr>
          <w:rFonts w:cs="Courier New"/>
          <w:sz w:val="20"/>
          <w:szCs w:val="20"/>
        </w:rPr>
        <w:t>in excess of</w:t>
      </w:r>
      <w:proofErr w:type="gramEnd"/>
      <w:r w:rsidRPr="000C7C84">
        <w:rPr>
          <w:rFonts w:cs="Courier New"/>
          <w:sz w:val="20"/>
          <w:szCs w:val="20"/>
        </w:rPr>
        <w:t xml:space="preserve"> 5% of the firm’s recommended portfolio. The primary benchmark for these accounts should be the S&amp;P 500 </w:t>
      </w:r>
      <w:proofErr w:type="gramStart"/>
      <w:r w:rsidRPr="000C7C84">
        <w:rPr>
          <w:rFonts w:cs="Courier New"/>
          <w:sz w:val="20"/>
          <w:szCs w:val="20"/>
        </w:rPr>
        <w:t>Index</w:t>
      </w:r>
      <w:proofErr w:type="gramEnd"/>
      <w:r w:rsidRPr="000C7C84">
        <w:rPr>
          <w:rFonts w:cs="Courier New"/>
          <w:sz w:val="20"/>
          <w:szCs w:val="20"/>
        </w:rPr>
        <w:t xml:space="preserve"> and the secondary benchmark should be the Russell 1000 Growth Index. The inception date for the composite is Jan. 1, 1992. The creation date for this composite is Jan. 1, 2004. At this time, the composite containing accounts that directed trading was closed, and those accounts were added to the composite containing accounts in which Smith Group has discretionary trading authority, creating a composite of all accounts invested in this </w:t>
      </w:r>
      <w:proofErr w:type="gramStart"/>
      <w:r w:rsidRPr="000C7C84">
        <w:rPr>
          <w:rFonts w:cs="Courier New"/>
          <w:sz w:val="20"/>
          <w:szCs w:val="20"/>
        </w:rPr>
        <w:t>particular strategy</w:t>
      </w:r>
      <w:proofErr w:type="gramEnd"/>
      <w:r w:rsidRPr="000C7C84">
        <w:rPr>
          <w:rFonts w:cs="Courier New"/>
          <w:sz w:val="20"/>
          <w:szCs w:val="20"/>
        </w:rPr>
        <w:t>. Accounts are added to the composite at the beginning of the first calendar quarter after full investment of the account. Accounts are removed from the composite at the month end prior to change in account status.</w:t>
      </w:r>
    </w:p>
    <w:p w14:paraId="11DC5774" w14:textId="77777777" w:rsidR="000C7C84" w:rsidRPr="000C7C84" w:rsidRDefault="000C7C84" w:rsidP="000C7C84">
      <w:pPr>
        <w:rPr>
          <w:rFonts w:cs="Courier New"/>
          <w:sz w:val="20"/>
          <w:szCs w:val="20"/>
        </w:rPr>
      </w:pPr>
      <w:r w:rsidRPr="000C7C84">
        <w:rPr>
          <w:rFonts w:cs="Courier New"/>
          <w:b/>
          <w:bCs/>
          <w:sz w:val="20"/>
          <w:szCs w:val="20"/>
        </w:rPr>
        <w:t xml:space="preserve">Fee Schedule: </w:t>
      </w:r>
      <w:r w:rsidRPr="000C7C84">
        <w:rPr>
          <w:rFonts w:cs="Courier New"/>
          <w:sz w:val="20"/>
          <w:szCs w:val="20"/>
          <w:u w:val="single"/>
        </w:rPr>
        <w:t>Fixed Rate</w:t>
      </w:r>
      <w:r w:rsidRPr="000C7C84">
        <w:rPr>
          <w:rFonts w:cs="Courier New"/>
          <w:sz w:val="20"/>
          <w:szCs w:val="20"/>
        </w:rPr>
        <w:t xml:space="preserve">: 0.60% on all managed assets effective April 1, 2019. For all prior periods: 1.00% on the first $10 million </w:t>
      </w:r>
      <w:proofErr w:type="gramStart"/>
      <w:r w:rsidRPr="000C7C84">
        <w:rPr>
          <w:rFonts w:cs="Courier New"/>
          <w:sz w:val="20"/>
          <w:szCs w:val="20"/>
        </w:rPr>
        <w:t>of</w:t>
      </w:r>
      <w:proofErr w:type="gramEnd"/>
      <w:r w:rsidRPr="000C7C84">
        <w:rPr>
          <w:rFonts w:cs="Courier New"/>
          <w:sz w:val="20"/>
          <w:szCs w:val="20"/>
        </w:rPr>
        <w:t xml:space="preserve"> assets, 0.75% on the next $15 million </w:t>
      </w:r>
      <w:proofErr w:type="gramStart"/>
      <w:r w:rsidRPr="000C7C84">
        <w:rPr>
          <w:rFonts w:cs="Courier New"/>
          <w:sz w:val="20"/>
          <w:szCs w:val="20"/>
        </w:rPr>
        <w:t>of</w:t>
      </w:r>
      <w:proofErr w:type="gramEnd"/>
      <w:r w:rsidRPr="000C7C84">
        <w:rPr>
          <w:rFonts w:cs="Courier New"/>
          <w:sz w:val="20"/>
          <w:szCs w:val="20"/>
        </w:rPr>
        <w:t xml:space="preserve"> assets</w:t>
      </w:r>
      <w:proofErr w:type="gramStart"/>
      <w:r w:rsidRPr="000C7C84">
        <w:rPr>
          <w:rFonts w:cs="Courier New"/>
          <w:sz w:val="20"/>
          <w:szCs w:val="20"/>
        </w:rPr>
        <w:t>, 0.50</w:t>
      </w:r>
      <w:proofErr w:type="gramEnd"/>
      <w:r w:rsidRPr="000C7C84">
        <w:rPr>
          <w:rFonts w:cs="Courier New"/>
          <w:sz w:val="20"/>
          <w:szCs w:val="20"/>
        </w:rPr>
        <w:t xml:space="preserve">% on all amounts over $25 million. </w:t>
      </w:r>
      <w:r w:rsidRPr="000C7C84">
        <w:rPr>
          <w:rFonts w:cs="Courier New"/>
          <w:sz w:val="20"/>
          <w:szCs w:val="20"/>
          <w:u w:val="single"/>
        </w:rPr>
        <w:t>Variable Rate</w:t>
      </w:r>
      <w:r w:rsidRPr="000C7C84">
        <w:rPr>
          <w:rFonts w:cs="Courier New"/>
          <w:sz w:val="20"/>
          <w:szCs w:val="20"/>
        </w:rPr>
        <w:t>: 0.25% plus 25% of the excess return over the S&amp;P 500 Index. Charged quarterly in arrears for the trailing 12-month period.</w:t>
      </w:r>
    </w:p>
    <w:p w14:paraId="4D13ADEB" w14:textId="77777777" w:rsidR="000C7C84" w:rsidRPr="000C7C84" w:rsidRDefault="000C7C84" w:rsidP="000C7C84">
      <w:pPr>
        <w:rPr>
          <w:rFonts w:cs="Courier New"/>
          <w:sz w:val="20"/>
          <w:szCs w:val="20"/>
        </w:rPr>
      </w:pPr>
      <w:r w:rsidRPr="000C7C84">
        <w:rPr>
          <w:rFonts w:cs="Courier New"/>
          <w:b/>
          <w:bCs/>
          <w:sz w:val="20"/>
          <w:szCs w:val="20"/>
        </w:rPr>
        <w:t>Performance Notes</w:t>
      </w:r>
      <w:proofErr w:type="gramStart"/>
      <w:r w:rsidRPr="000C7C84">
        <w:rPr>
          <w:rFonts w:cs="Courier New"/>
          <w:b/>
          <w:bCs/>
          <w:sz w:val="20"/>
          <w:szCs w:val="20"/>
        </w:rPr>
        <w:t>:</w:t>
      </w:r>
      <w:r w:rsidRPr="000C7C84">
        <w:rPr>
          <w:rFonts w:cs="Courier New"/>
          <w:sz w:val="20"/>
          <w:szCs w:val="20"/>
        </w:rPr>
        <w:t xml:space="preserve">  Gross</w:t>
      </w:r>
      <w:proofErr w:type="gramEnd"/>
      <w:r w:rsidRPr="000C7C84">
        <w:rPr>
          <w:rFonts w:cs="Courier New"/>
          <w:sz w:val="20"/>
          <w:szCs w:val="20"/>
        </w:rPr>
        <w:t xml:space="preserve"> of fee performance figures shown above do not reflect the deduction of investment advisory fees. Cash, cash equivalents, dividends and interest are included in results. </w:t>
      </w:r>
      <w:r w:rsidRPr="000C7C84">
        <w:rPr>
          <w:rFonts w:cs="Courier New"/>
          <w:b/>
          <w:bCs/>
          <w:i/>
          <w:iCs/>
          <w:sz w:val="20"/>
          <w:szCs w:val="20"/>
        </w:rPr>
        <w:t>Actual client returns will include deductions for advisory fees. For further disclosure regarding our fees, refer to our Form ADV, Part II.</w:t>
      </w:r>
    </w:p>
    <w:p w14:paraId="0703F3BB" w14:textId="77777777" w:rsidR="000C7C84" w:rsidRPr="000C7C84" w:rsidRDefault="000C7C84" w:rsidP="000C7C84">
      <w:pPr>
        <w:rPr>
          <w:rFonts w:cs="Courier New"/>
          <w:sz w:val="20"/>
          <w:szCs w:val="20"/>
        </w:rPr>
      </w:pPr>
      <w:r w:rsidRPr="000C7C84">
        <w:rPr>
          <w:rFonts w:cs="Courier New"/>
          <w:b/>
          <w:bCs/>
          <w:sz w:val="20"/>
          <w:szCs w:val="20"/>
        </w:rPr>
        <w:t>Benchmarks</w:t>
      </w:r>
      <w:r w:rsidRPr="000C7C84">
        <w:rPr>
          <w:rFonts w:cs="Courier New"/>
          <w:sz w:val="20"/>
          <w:szCs w:val="20"/>
        </w:rPr>
        <w:t>:  The S&amp;P 500 index and Russell 1000 Growth index are unmanaged indices of the shares of large U.S. corporations. They include reinvested dividends and are presented gross of fees.</w:t>
      </w:r>
    </w:p>
    <w:p w14:paraId="3DA9FADD" w14:textId="77777777" w:rsidR="000C7C84" w:rsidRPr="000C7C84" w:rsidRDefault="000C7C84" w:rsidP="000C7C84">
      <w:pPr>
        <w:rPr>
          <w:rFonts w:cs="Courier New"/>
          <w:sz w:val="20"/>
          <w:szCs w:val="20"/>
        </w:rPr>
      </w:pPr>
      <w:r w:rsidRPr="000C7C84">
        <w:rPr>
          <w:rFonts w:cs="Courier New"/>
          <w:b/>
          <w:bCs/>
          <w:sz w:val="20"/>
          <w:szCs w:val="20"/>
        </w:rPr>
        <w:t>Principal Investment Risks</w:t>
      </w:r>
      <w:r w:rsidRPr="000C7C84">
        <w:rPr>
          <w:rFonts w:cs="Courier New"/>
          <w:sz w:val="20"/>
          <w:szCs w:val="20"/>
        </w:rPr>
        <w:t xml:space="preserve">: The loss of your money is </w:t>
      </w:r>
      <w:proofErr w:type="gramStart"/>
      <w:r w:rsidRPr="000C7C84">
        <w:rPr>
          <w:rFonts w:cs="Courier New"/>
          <w:sz w:val="20"/>
          <w:szCs w:val="20"/>
        </w:rPr>
        <w:t>a principal</w:t>
      </w:r>
      <w:proofErr w:type="gramEnd"/>
      <w:r w:rsidRPr="000C7C84">
        <w:rPr>
          <w:rFonts w:cs="Courier New"/>
          <w:sz w:val="20"/>
          <w:szCs w:val="20"/>
        </w:rPr>
        <w:t xml:space="preserve"> risk of investing in the Strategy. Investments in the Strategy are subject to investment risks, including the possible loss of some or the entire </w:t>
      </w:r>
      <w:r w:rsidRPr="000C7C84">
        <w:rPr>
          <w:rFonts w:cs="Courier New"/>
          <w:sz w:val="20"/>
          <w:szCs w:val="20"/>
        </w:rPr>
        <w:lastRenderedPageBreak/>
        <w:t xml:space="preserve">principal amount invested. The Strategy is subject to certain risks, including the principal risks noted below, any of which may adversely affect the Strategy’s value and ability to meet its investment objectives. An investment in the Strategy is not a deposit or obligation of any bank and is not insured by the FDIC or any other government agency. </w:t>
      </w:r>
      <w:r w:rsidRPr="000C7C84">
        <w:rPr>
          <w:rFonts w:cs="Courier New"/>
          <w:b/>
          <w:bCs/>
          <w:sz w:val="20"/>
          <w:szCs w:val="20"/>
        </w:rPr>
        <w:t xml:space="preserve">Market risk </w:t>
      </w:r>
      <w:r w:rsidRPr="000C7C84">
        <w:rPr>
          <w:rFonts w:cs="Courier New"/>
          <w:sz w:val="20"/>
          <w:szCs w:val="20"/>
        </w:rPr>
        <w:t xml:space="preserve">— The risk that all or </w:t>
      </w:r>
      <w:proofErr w:type="gramStart"/>
      <w:r w:rsidRPr="000C7C84">
        <w:rPr>
          <w:rFonts w:cs="Courier New"/>
          <w:sz w:val="20"/>
          <w:szCs w:val="20"/>
        </w:rPr>
        <w:t>a majority of</w:t>
      </w:r>
      <w:proofErr w:type="gramEnd"/>
      <w:r w:rsidRPr="000C7C84">
        <w:rPr>
          <w:rFonts w:cs="Courier New"/>
          <w:sz w:val="20"/>
          <w:szCs w:val="20"/>
        </w:rPr>
        <w:t xml:space="preserve"> the securities in a certain market will decline in value because of factors such as adverse political or economic conditions, future expectations, investor confidence, or heavy institutional selling. </w:t>
      </w:r>
      <w:r w:rsidRPr="000C7C84">
        <w:rPr>
          <w:rFonts w:cs="Courier New"/>
          <w:b/>
          <w:bCs/>
          <w:sz w:val="20"/>
          <w:szCs w:val="20"/>
        </w:rPr>
        <w:t xml:space="preserve">Growth stock risk </w:t>
      </w:r>
      <w:r w:rsidRPr="000C7C84">
        <w:rPr>
          <w:rFonts w:cs="Courier New"/>
          <w:sz w:val="20"/>
          <w:szCs w:val="20"/>
        </w:rPr>
        <w:t xml:space="preserve">— Growth stocks reflect projections of future earnings and revenue. These prices may rise or fall dramatically depending on whether those projections are met. These companies’ stock prices may be more volatile, particularly over the short term. </w:t>
      </w:r>
      <w:r w:rsidRPr="000C7C84">
        <w:rPr>
          <w:rFonts w:cs="Courier New"/>
          <w:b/>
          <w:bCs/>
          <w:sz w:val="20"/>
          <w:szCs w:val="20"/>
        </w:rPr>
        <w:t xml:space="preserve">Limited number of </w:t>
      </w:r>
      <w:proofErr w:type="gramStart"/>
      <w:r w:rsidRPr="000C7C84">
        <w:rPr>
          <w:rFonts w:cs="Courier New"/>
          <w:b/>
          <w:bCs/>
          <w:sz w:val="20"/>
          <w:szCs w:val="20"/>
        </w:rPr>
        <w:t>securities risk</w:t>
      </w:r>
      <w:proofErr w:type="gramEnd"/>
      <w:r w:rsidRPr="000C7C84">
        <w:rPr>
          <w:rFonts w:cs="Courier New"/>
          <w:b/>
          <w:bCs/>
          <w:sz w:val="20"/>
          <w:szCs w:val="20"/>
        </w:rPr>
        <w:t xml:space="preserve"> </w:t>
      </w:r>
      <w:r w:rsidRPr="000C7C84">
        <w:rPr>
          <w:rFonts w:cs="Courier New"/>
          <w:sz w:val="20"/>
          <w:szCs w:val="20"/>
        </w:rPr>
        <w:t xml:space="preserve">— The possibility that a single security’s increase or decrease in value may have a greater impact on the value and total return because the Strategy may hold larger positions in fewer securities than other strategies. In addition, a Strategy that holds a limited number of securities may be more volatile than strategies that hold a greater number of securities. </w:t>
      </w:r>
      <w:r w:rsidRPr="000C7C84">
        <w:rPr>
          <w:rFonts w:cs="Courier New"/>
          <w:b/>
          <w:bCs/>
          <w:sz w:val="20"/>
          <w:szCs w:val="20"/>
        </w:rPr>
        <w:t xml:space="preserve">Sector risk </w:t>
      </w:r>
      <w:r w:rsidRPr="000C7C84">
        <w:rPr>
          <w:rFonts w:cs="Courier New"/>
          <w:sz w:val="20"/>
          <w:szCs w:val="20"/>
        </w:rPr>
        <w:t xml:space="preserve">— The risk that the value of securities in a particular sector will decline because of changing expectations for the performance of that sector. </w:t>
      </w:r>
      <w:r w:rsidRPr="000C7C84">
        <w:rPr>
          <w:rFonts w:cs="Courier New"/>
          <w:b/>
          <w:bCs/>
          <w:sz w:val="20"/>
          <w:szCs w:val="20"/>
        </w:rPr>
        <w:t xml:space="preserve">Active management and selection risk </w:t>
      </w:r>
      <w:r w:rsidRPr="000C7C84">
        <w:rPr>
          <w:rFonts w:cs="Courier New"/>
          <w:sz w:val="20"/>
          <w:szCs w:val="20"/>
        </w:rPr>
        <w:t>— The risk that the securities selected by a Strategy’s management will underperform the markets, the relevant indices, or the securities selected by other strategies with similar investment objectives and investment strategies. The securities and sectors selected may vary from the securities and sectors included in the relevant index.</w:t>
      </w:r>
    </w:p>
    <w:p w14:paraId="6AACCC57" w14:textId="534A6D4B" w:rsidR="000C7C84" w:rsidRDefault="00B14E58" w:rsidP="006C0329">
      <w:pPr>
        <w:rPr>
          <w:rFonts w:cs="Courier New"/>
        </w:rPr>
      </w:pPr>
      <w:r>
        <w:rPr>
          <w:rFonts w:cs="Courier New"/>
          <w:noProof/>
        </w:rPr>
        <mc:AlternateContent>
          <mc:Choice Requires="wps">
            <w:drawing>
              <wp:anchor distT="0" distB="0" distL="114300" distR="114300" simplePos="0" relativeHeight="251661312" behindDoc="0" locked="0" layoutInCell="1" allowOverlap="1" wp14:anchorId="6BBD667D" wp14:editId="694FA7B1">
                <wp:simplePos x="0" y="0"/>
                <wp:positionH relativeFrom="page">
                  <wp:align>left</wp:align>
                </wp:positionH>
                <wp:positionV relativeFrom="paragraph">
                  <wp:posOffset>390017</wp:posOffset>
                </wp:positionV>
                <wp:extent cx="7798003" cy="431597"/>
                <wp:effectExtent l="0" t="0" r="12700" b="26035"/>
                <wp:wrapNone/>
                <wp:docPr id="273537375" name="Rectangle 2"/>
                <wp:cNvGraphicFramePr/>
                <a:graphic xmlns:a="http://schemas.openxmlformats.org/drawingml/2006/main">
                  <a:graphicData uri="http://schemas.microsoft.com/office/word/2010/wordprocessingShape">
                    <wps:wsp>
                      <wps:cNvSpPr/>
                      <wps:spPr>
                        <a:xfrm>
                          <a:off x="0" y="0"/>
                          <a:ext cx="7798003" cy="4315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233CB8" id="Rectangle 2" o:spid="_x0000_s1026" style="position:absolute;margin-left:0;margin-top:30.7pt;width:614pt;height:34pt;z-index:2516613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" fillcolor="#156082 [3204]" strokecolor="#030e13 [484]" strokeweight="1pt">
                <w10:wrap anchorx="page"/>
              </v:rect>
            </w:pict>
          </mc:Fallback>
        </mc:AlternateContent>
      </w:r>
    </w:p>
    <w:p w14:paraId="44AA700C" w14:textId="46AF6F37" w:rsidR="00B14E58" w:rsidRPr="00EB1C02" w:rsidRDefault="00B14E58" w:rsidP="006C0329">
      <w:pPr>
        <w:rPr>
          <w:rFonts w:cs="Courier New"/>
        </w:rPr>
      </w:pPr>
    </w:p>
    <w:sectPr w:rsidR="00B14E58" w:rsidRPr="00EB1C02" w:rsidSect="00311050">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3E05C" w14:textId="77777777" w:rsidR="004E433F" w:rsidRDefault="004E433F" w:rsidP="00232B86">
      <w:pPr>
        <w:spacing w:after="0" w:line="240" w:lineRule="auto"/>
      </w:pPr>
      <w:r>
        <w:separator/>
      </w:r>
    </w:p>
  </w:endnote>
  <w:endnote w:type="continuationSeparator" w:id="0">
    <w:p w14:paraId="2AEC0CD2" w14:textId="77777777" w:rsidR="004E433F" w:rsidRDefault="004E433F" w:rsidP="00232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939822"/>
      <w:docPartObj>
        <w:docPartGallery w:val="Page Numbers (Bottom of Page)"/>
        <w:docPartUnique/>
      </w:docPartObj>
    </w:sdtPr>
    <w:sdtEndPr>
      <w:rPr>
        <w:noProof/>
      </w:rPr>
    </w:sdtEndPr>
    <w:sdtContent>
      <w:p w14:paraId="075A4CCE" w14:textId="354C5560" w:rsidR="00232B86" w:rsidRDefault="00232B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A7B343" w14:textId="77777777" w:rsidR="00232B86" w:rsidRDefault="00232B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986EB" w14:textId="77777777" w:rsidR="004E433F" w:rsidRDefault="004E433F" w:rsidP="00232B86">
      <w:pPr>
        <w:spacing w:after="0" w:line="240" w:lineRule="auto"/>
      </w:pPr>
      <w:r>
        <w:separator/>
      </w:r>
    </w:p>
  </w:footnote>
  <w:footnote w:type="continuationSeparator" w:id="0">
    <w:p w14:paraId="6EC579CF" w14:textId="77777777" w:rsidR="004E433F" w:rsidRDefault="004E433F" w:rsidP="00232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3A4577"/>
    <w:multiLevelType w:val="hybridMultilevel"/>
    <w:tmpl w:val="6AE4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3836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641"/>
    <w:rsid w:val="00040E9A"/>
    <w:rsid w:val="000578A6"/>
    <w:rsid w:val="0006639A"/>
    <w:rsid w:val="000B6EDF"/>
    <w:rsid w:val="000C7C84"/>
    <w:rsid w:val="00124D86"/>
    <w:rsid w:val="00161F3A"/>
    <w:rsid w:val="0016508B"/>
    <w:rsid w:val="00193A31"/>
    <w:rsid w:val="001B44B8"/>
    <w:rsid w:val="001B78B7"/>
    <w:rsid w:val="001D1A01"/>
    <w:rsid w:val="001D614D"/>
    <w:rsid w:val="001F3FCB"/>
    <w:rsid w:val="002009BD"/>
    <w:rsid w:val="00204C2D"/>
    <w:rsid w:val="00213BEB"/>
    <w:rsid w:val="002311FA"/>
    <w:rsid w:val="00232B86"/>
    <w:rsid w:val="0024638B"/>
    <w:rsid w:val="002833DC"/>
    <w:rsid w:val="002D0806"/>
    <w:rsid w:val="002E7BE5"/>
    <w:rsid w:val="00311050"/>
    <w:rsid w:val="003305F0"/>
    <w:rsid w:val="003401B6"/>
    <w:rsid w:val="00365E23"/>
    <w:rsid w:val="003B7BC4"/>
    <w:rsid w:val="003F2F67"/>
    <w:rsid w:val="00435525"/>
    <w:rsid w:val="00441280"/>
    <w:rsid w:val="004868C4"/>
    <w:rsid w:val="00490A23"/>
    <w:rsid w:val="004D09D2"/>
    <w:rsid w:val="004D1530"/>
    <w:rsid w:val="004E322A"/>
    <w:rsid w:val="004E433F"/>
    <w:rsid w:val="005008D2"/>
    <w:rsid w:val="00504D36"/>
    <w:rsid w:val="00510050"/>
    <w:rsid w:val="00525168"/>
    <w:rsid w:val="005252B0"/>
    <w:rsid w:val="005456C5"/>
    <w:rsid w:val="0058257C"/>
    <w:rsid w:val="005A1B0E"/>
    <w:rsid w:val="005A539A"/>
    <w:rsid w:val="005B4150"/>
    <w:rsid w:val="005D442F"/>
    <w:rsid w:val="00604CCA"/>
    <w:rsid w:val="00657612"/>
    <w:rsid w:val="006A485F"/>
    <w:rsid w:val="006C0329"/>
    <w:rsid w:val="006D3794"/>
    <w:rsid w:val="00706948"/>
    <w:rsid w:val="00744D00"/>
    <w:rsid w:val="0075081A"/>
    <w:rsid w:val="007519D7"/>
    <w:rsid w:val="0077381E"/>
    <w:rsid w:val="007A0502"/>
    <w:rsid w:val="007F01B8"/>
    <w:rsid w:val="007F469F"/>
    <w:rsid w:val="007F5CA5"/>
    <w:rsid w:val="00837834"/>
    <w:rsid w:val="00866CBF"/>
    <w:rsid w:val="008902F0"/>
    <w:rsid w:val="008B1178"/>
    <w:rsid w:val="008C4B66"/>
    <w:rsid w:val="008C51F6"/>
    <w:rsid w:val="008C669A"/>
    <w:rsid w:val="008D6DB5"/>
    <w:rsid w:val="008F083F"/>
    <w:rsid w:val="0090151E"/>
    <w:rsid w:val="00927517"/>
    <w:rsid w:val="009439F0"/>
    <w:rsid w:val="00961E1B"/>
    <w:rsid w:val="0097004D"/>
    <w:rsid w:val="009B41B0"/>
    <w:rsid w:val="009F1C83"/>
    <w:rsid w:val="00A07FAD"/>
    <w:rsid w:val="00A30DCC"/>
    <w:rsid w:val="00A47FA8"/>
    <w:rsid w:val="00A702EA"/>
    <w:rsid w:val="00A74CBA"/>
    <w:rsid w:val="00AA16C5"/>
    <w:rsid w:val="00B07310"/>
    <w:rsid w:val="00B14089"/>
    <w:rsid w:val="00B14E58"/>
    <w:rsid w:val="00BA7E30"/>
    <w:rsid w:val="00BB3799"/>
    <w:rsid w:val="00BC0A09"/>
    <w:rsid w:val="00BE1E11"/>
    <w:rsid w:val="00BF1735"/>
    <w:rsid w:val="00BF509C"/>
    <w:rsid w:val="00C02DE2"/>
    <w:rsid w:val="00C05A75"/>
    <w:rsid w:val="00C13CB8"/>
    <w:rsid w:val="00C35112"/>
    <w:rsid w:val="00C40E67"/>
    <w:rsid w:val="00C6595A"/>
    <w:rsid w:val="00CC4599"/>
    <w:rsid w:val="00CC6C2C"/>
    <w:rsid w:val="00CC7E7C"/>
    <w:rsid w:val="00CD1E5F"/>
    <w:rsid w:val="00CD5608"/>
    <w:rsid w:val="00CE05D7"/>
    <w:rsid w:val="00D02A43"/>
    <w:rsid w:val="00D10733"/>
    <w:rsid w:val="00D17023"/>
    <w:rsid w:val="00D25160"/>
    <w:rsid w:val="00D35CD8"/>
    <w:rsid w:val="00D53B8D"/>
    <w:rsid w:val="00D828FB"/>
    <w:rsid w:val="00E61C06"/>
    <w:rsid w:val="00E62255"/>
    <w:rsid w:val="00E95D51"/>
    <w:rsid w:val="00EB1C02"/>
    <w:rsid w:val="00EF2E4C"/>
    <w:rsid w:val="00F314C4"/>
    <w:rsid w:val="00F336E0"/>
    <w:rsid w:val="00F34E3F"/>
    <w:rsid w:val="00F41C86"/>
    <w:rsid w:val="00F77F45"/>
    <w:rsid w:val="00F94C23"/>
    <w:rsid w:val="00FA7641"/>
    <w:rsid w:val="00FB6DA3"/>
    <w:rsid w:val="00FC6364"/>
    <w:rsid w:val="00FD3006"/>
    <w:rsid w:val="00FD3E7D"/>
    <w:rsid w:val="00FD4682"/>
    <w:rsid w:val="00FF7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E86AA"/>
  <w15:chartTrackingRefBased/>
  <w15:docId w15:val="{8B10A13A-4664-42BA-A507-E4D445B6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76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76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76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76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76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76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76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76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76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6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76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76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76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76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76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76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76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7641"/>
    <w:rPr>
      <w:rFonts w:eastAsiaTheme="majorEastAsia" w:cstheme="majorBidi"/>
      <w:color w:val="272727" w:themeColor="text1" w:themeTint="D8"/>
    </w:rPr>
  </w:style>
  <w:style w:type="paragraph" w:styleId="Title">
    <w:name w:val="Title"/>
    <w:basedOn w:val="Normal"/>
    <w:next w:val="Normal"/>
    <w:link w:val="TitleChar"/>
    <w:uiPriority w:val="10"/>
    <w:qFormat/>
    <w:rsid w:val="00FA76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6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76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76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7641"/>
    <w:pPr>
      <w:spacing w:before="160"/>
      <w:jc w:val="center"/>
    </w:pPr>
    <w:rPr>
      <w:i/>
      <w:iCs/>
      <w:color w:val="404040" w:themeColor="text1" w:themeTint="BF"/>
    </w:rPr>
  </w:style>
  <w:style w:type="character" w:customStyle="1" w:styleId="QuoteChar">
    <w:name w:val="Quote Char"/>
    <w:basedOn w:val="DefaultParagraphFont"/>
    <w:link w:val="Quote"/>
    <w:uiPriority w:val="29"/>
    <w:rsid w:val="00FA7641"/>
    <w:rPr>
      <w:i/>
      <w:iCs/>
      <w:color w:val="404040" w:themeColor="text1" w:themeTint="BF"/>
    </w:rPr>
  </w:style>
  <w:style w:type="paragraph" w:styleId="ListParagraph">
    <w:name w:val="List Paragraph"/>
    <w:basedOn w:val="Normal"/>
    <w:uiPriority w:val="34"/>
    <w:qFormat/>
    <w:rsid w:val="00FA7641"/>
    <w:pPr>
      <w:ind w:left="720"/>
      <w:contextualSpacing/>
    </w:pPr>
  </w:style>
  <w:style w:type="character" w:styleId="IntenseEmphasis">
    <w:name w:val="Intense Emphasis"/>
    <w:basedOn w:val="DefaultParagraphFont"/>
    <w:uiPriority w:val="21"/>
    <w:qFormat/>
    <w:rsid w:val="00FA7641"/>
    <w:rPr>
      <w:i/>
      <w:iCs/>
      <w:color w:val="0F4761" w:themeColor="accent1" w:themeShade="BF"/>
    </w:rPr>
  </w:style>
  <w:style w:type="paragraph" w:styleId="IntenseQuote">
    <w:name w:val="Intense Quote"/>
    <w:basedOn w:val="Normal"/>
    <w:next w:val="Normal"/>
    <w:link w:val="IntenseQuoteChar"/>
    <w:uiPriority w:val="30"/>
    <w:qFormat/>
    <w:rsid w:val="00FA76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7641"/>
    <w:rPr>
      <w:i/>
      <w:iCs/>
      <w:color w:val="0F4761" w:themeColor="accent1" w:themeShade="BF"/>
    </w:rPr>
  </w:style>
  <w:style w:type="character" w:styleId="IntenseReference">
    <w:name w:val="Intense Reference"/>
    <w:basedOn w:val="DefaultParagraphFont"/>
    <w:uiPriority w:val="32"/>
    <w:qFormat/>
    <w:rsid w:val="00FA7641"/>
    <w:rPr>
      <w:b/>
      <w:bCs/>
      <w:smallCaps/>
      <w:color w:val="0F4761" w:themeColor="accent1" w:themeShade="BF"/>
      <w:spacing w:val="5"/>
    </w:rPr>
  </w:style>
  <w:style w:type="character" w:styleId="Hyperlink">
    <w:name w:val="Hyperlink"/>
    <w:basedOn w:val="DefaultParagraphFont"/>
    <w:uiPriority w:val="99"/>
    <w:unhideWhenUsed/>
    <w:rsid w:val="009439F0"/>
    <w:rPr>
      <w:color w:val="467886" w:themeColor="hyperlink"/>
      <w:u w:val="single"/>
    </w:rPr>
  </w:style>
  <w:style w:type="character" w:styleId="UnresolvedMention">
    <w:name w:val="Unresolved Mention"/>
    <w:basedOn w:val="DefaultParagraphFont"/>
    <w:uiPriority w:val="99"/>
    <w:semiHidden/>
    <w:unhideWhenUsed/>
    <w:rsid w:val="009439F0"/>
    <w:rPr>
      <w:color w:val="605E5C"/>
      <w:shd w:val="clear" w:color="auto" w:fill="E1DFDD"/>
    </w:rPr>
  </w:style>
  <w:style w:type="character" w:styleId="FollowedHyperlink">
    <w:name w:val="FollowedHyperlink"/>
    <w:basedOn w:val="DefaultParagraphFont"/>
    <w:uiPriority w:val="99"/>
    <w:semiHidden/>
    <w:unhideWhenUsed/>
    <w:rsid w:val="007519D7"/>
    <w:rPr>
      <w:color w:val="96607D" w:themeColor="followedHyperlink"/>
      <w:u w:val="single"/>
    </w:rPr>
  </w:style>
  <w:style w:type="paragraph" w:styleId="Header">
    <w:name w:val="header"/>
    <w:basedOn w:val="Normal"/>
    <w:link w:val="HeaderChar"/>
    <w:uiPriority w:val="99"/>
    <w:unhideWhenUsed/>
    <w:rsid w:val="00232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B86"/>
  </w:style>
  <w:style w:type="paragraph" w:styleId="Footer">
    <w:name w:val="footer"/>
    <w:basedOn w:val="Normal"/>
    <w:link w:val="FooterChar"/>
    <w:uiPriority w:val="99"/>
    <w:unhideWhenUsed/>
    <w:rsid w:val="00232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sj.com/opinion/best-protection-against-an-ai-bubble-index-funds-229371bb?" TargetMode="External"/><Relationship Id="rId13" Type="http://schemas.openxmlformats.org/officeDocument/2006/relationships/hyperlink" Target="https://www.london.edu/think/hope-active-mutual-fund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library.wiley.com/doi/10.1111/j.1540-6261.2006.01015.x"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dash.harvard.edu/server/api/core/bitstreams/a62341cc-4539-4a81-8a98-791e44499678/conten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sj.com/finance/investing/index-funds-investing-stock-market-f747f46f?"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672</TotalTime>
  <Pages>9</Pages>
  <Words>3199</Words>
  <Characters>16992</Characters>
  <Application>Microsoft Office Word</Application>
  <DocSecurity>0</DocSecurity>
  <Lines>308</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McDonnold</dc:creator>
  <cp:keywords/>
  <dc:description/>
  <cp:lastModifiedBy>Paul McDonnold</cp:lastModifiedBy>
  <cp:revision>61</cp:revision>
  <cp:lastPrinted>2026-04-08T14:44:00Z</cp:lastPrinted>
  <dcterms:created xsi:type="dcterms:W3CDTF">2026-03-31T19:36:00Z</dcterms:created>
  <dcterms:modified xsi:type="dcterms:W3CDTF">2026-04-13T15:25:00Z</dcterms:modified>
</cp:coreProperties>
</file>